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</w:t>
      </w:r>
    </w:p>
    <w:p>
      <w:pPr>
        <w:pStyle w:val="Normal"/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</w:t>
      </w:r>
      <w:r>
        <w:rPr>
          <w:lang w:val="pl-PL"/>
        </w:rPr>
        <w:t>Kluki, dn.. ......................................</w:t>
      </w:r>
    </w:p>
    <w:p>
      <w:pPr>
        <w:pStyle w:val="Normal"/>
        <w:rPr>
          <w:lang w:val="pl-PL"/>
        </w:rPr>
      </w:pPr>
      <w:r>
        <w:rPr>
          <w:lang w:val="pl-PL"/>
        </w:rPr>
        <w:t>......................................................................</w:t>
      </w:r>
    </w:p>
    <w:p>
      <w:pPr>
        <w:pStyle w:val="Normal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(imię i nazwisko Wnioskodawcy lub pełnomocnika)</w:t>
      </w:r>
    </w:p>
    <w:p>
      <w:pPr>
        <w:pStyle w:val="Normal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</w:r>
    </w:p>
    <w:p>
      <w:pPr>
        <w:pStyle w:val="Normal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.........................................................</w:t>
      </w:r>
    </w:p>
    <w:p>
      <w:pPr>
        <w:pStyle w:val="Normal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(adres zamieszkania)</w:t>
      </w:r>
    </w:p>
    <w:p>
      <w:pPr>
        <w:pStyle w:val="Normal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</w:r>
    </w:p>
    <w:p>
      <w:pPr>
        <w:pStyle w:val="Normal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............................................................</w:t>
      </w:r>
    </w:p>
    <w:p>
      <w:pPr>
        <w:pStyle w:val="Zawartotabeli"/>
        <w:spacing w:before="120" w:after="120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(adres korespondencyjny                                                                                                                                                                (gdy  jest inny niż adres zamieszkania)</w:t>
      </w:r>
    </w:p>
    <w:p>
      <w:pPr>
        <w:pStyle w:val="Normal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</w:r>
    </w:p>
    <w:p>
      <w:pPr>
        <w:pStyle w:val="Normal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......................................................</w:t>
      </w:r>
    </w:p>
    <w:p>
      <w:pPr>
        <w:pStyle w:val="Normal"/>
        <w:autoSpaceDE w:val="false"/>
        <w:rPr/>
      </w:pPr>
      <w:r>
        <w:rPr>
          <w:rStyle w:val="Domylnaczcionkaakapitu"/>
          <w:sz w:val="20"/>
          <w:szCs w:val="20"/>
          <w:lang w:val="pl-PL"/>
        </w:rPr>
        <w:t>telefon do kontaktu</w:t>
      </w:r>
      <w:r>
        <w:rPr>
          <w:rStyle w:val="Domylnaczcionkaakapitu"/>
          <w:rFonts w:ascii="Palatino Linotype" w:hAnsi="Palatino Linotype"/>
          <w:i/>
          <w:iCs/>
          <w:sz w:val="20"/>
          <w:szCs w:val="20"/>
          <w:lang w:val="pl-PL"/>
        </w:rPr>
        <w:t xml:space="preserve"> podanie numeru ułatwi kontakt </w:t>
        <w:br/>
        <w:t>w celu sprawnej realizacji wniosku.</w:t>
      </w:r>
    </w:p>
    <w:p>
      <w:pPr>
        <w:pStyle w:val="Normal"/>
        <w:autoSpaceDE w:val="false"/>
        <w:rPr/>
      </w:pPr>
      <w:r>
        <w:rPr>
          <w:rStyle w:val="Domylnaczcionkaakapitu"/>
          <w:rFonts w:ascii="Palatino Linotype" w:hAnsi="Palatino Linotype"/>
          <w:i/>
          <w:iCs/>
          <w:sz w:val="20"/>
          <w:szCs w:val="20"/>
          <w:lang w:val="pl-PL"/>
        </w:rPr>
        <w:t xml:space="preserve">Brak podania numeru telefonu </w:t>
        <w:br/>
        <w:t>nie wpływa na rozpatrzenie wniosku.</w:t>
      </w:r>
    </w:p>
    <w:p>
      <w:pPr>
        <w:pStyle w:val="Normal"/>
        <w:rPr>
          <w:b/>
          <w:bCs/>
          <w:sz w:val="32"/>
          <w:szCs w:val="32"/>
          <w:lang w:val="pl-PL"/>
        </w:rPr>
      </w:pPr>
      <w:r>
        <w:rPr>
          <w:b/>
          <w:bCs/>
          <w:sz w:val="32"/>
          <w:szCs w:val="32"/>
          <w:lang w:val="pl-PL"/>
        </w:rPr>
      </w:r>
    </w:p>
    <w:p>
      <w:pPr>
        <w:pStyle w:val="Normal"/>
        <w:rPr>
          <w:b/>
          <w:bCs/>
          <w:sz w:val="32"/>
          <w:szCs w:val="32"/>
          <w:lang w:val="pl-PL"/>
        </w:rPr>
      </w:pPr>
      <w:r>
        <w:rPr>
          <w:b/>
          <w:bCs/>
          <w:sz w:val="32"/>
          <w:szCs w:val="32"/>
          <w:lang w:val="pl-PL"/>
        </w:rPr>
        <w:t>WÓJT GMINY KLUKI</w:t>
      </w:r>
    </w:p>
    <w:p>
      <w:pPr>
        <w:pStyle w:val="Normal"/>
        <w:rPr>
          <w:b/>
          <w:bCs/>
          <w:sz w:val="32"/>
          <w:szCs w:val="32"/>
          <w:lang w:val="pl-PL"/>
        </w:rPr>
      </w:pPr>
      <w:r>
        <w:rPr>
          <w:b/>
          <w:bCs/>
          <w:sz w:val="32"/>
          <w:szCs w:val="32"/>
          <w:lang w:val="pl-PL"/>
        </w:rPr>
      </w:r>
    </w:p>
    <w:p>
      <w:pPr>
        <w:pStyle w:val="Normal"/>
        <w:jc w:val="center"/>
        <w:rPr>
          <w:b/>
          <w:bCs/>
          <w:sz w:val="32"/>
          <w:szCs w:val="32"/>
          <w:lang w:val="pl-PL"/>
        </w:rPr>
      </w:pPr>
      <w:r>
        <w:rPr>
          <w:b/>
          <w:bCs/>
          <w:sz w:val="32"/>
          <w:szCs w:val="32"/>
          <w:lang w:val="pl-PL"/>
        </w:rPr>
        <w:t>ZGŁOSZENIE</w:t>
      </w:r>
    </w:p>
    <w:p>
      <w:pPr>
        <w:pStyle w:val="Normal"/>
        <w:jc w:val="center"/>
        <w:rPr>
          <w:b/>
          <w:bCs/>
          <w:sz w:val="26"/>
          <w:szCs w:val="26"/>
          <w:lang w:val="pl-PL"/>
        </w:rPr>
      </w:pPr>
      <w:r>
        <w:rPr>
          <w:b/>
          <w:bCs/>
          <w:sz w:val="26"/>
          <w:szCs w:val="26"/>
          <w:lang w:val="pl-PL"/>
        </w:rPr>
        <w:t>zamiaru usunięcia drzewa/drzew</w:t>
      </w:r>
    </w:p>
    <w:p>
      <w:pPr>
        <w:pStyle w:val="Normal"/>
        <w:rPr>
          <w:b/>
          <w:bCs/>
          <w:sz w:val="26"/>
          <w:szCs w:val="26"/>
          <w:lang w:val="pl-PL"/>
        </w:rPr>
      </w:pPr>
      <w:r>
        <w:rPr>
          <w:b/>
          <w:bCs/>
          <w:sz w:val="26"/>
          <w:szCs w:val="26"/>
          <w:lang w:val="pl-PL"/>
        </w:rPr>
      </w:r>
    </w:p>
    <w:p>
      <w:pPr>
        <w:pStyle w:val="Normal"/>
        <w:spacing w:lineRule="auto" w:line="360"/>
        <w:rPr/>
      </w:pPr>
      <w:r>
        <w:rPr>
          <w:rStyle w:val="Domylnaczcionkaakapitu"/>
          <w:sz w:val="20"/>
          <w:szCs w:val="20"/>
          <w:lang w:val="pl-PL"/>
        </w:rPr>
        <w:tab/>
        <w:t>Podstawa prawna: art. 83f ust. 4 ustawy z dnia 16 kwietnia 2004 r. o ochronie przyrody (Dz. U. z 2026 r., poz. 13 ze zm.)</w:t>
      </w:r>
    </w:p>
    <w:p>
      <w:pPr>
        <w:pStyle w:val="Normal"/>
        <w:spacing w:lineRule="auto" w:line="360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</w:r>
    </w:p>
    <w:p>
      <w:pPr>
        <w:pStyle w:val="Normal"/>
        <w:spacing w:lineRule="auto" w:line="360"/>
        <w:jc w:val="both"/>
        <w:rPr>
          <w:sz w:val="26"/>
          <w:szCs w:val="26"/>
          <w:lang w:val="pl-PL"/>
        </w:rPr>
      </w:pPr>
      <w:r>
        <w:rPr>
          <w:sz w:val="26"/>
          <w:szCs w:val="26"/>
          <w:lang w:val="pl-PL"/>
        </w:rPr>
        <w:tab/>
        <w:t>Zgłaszam zamiar usunięcia ........... szt. drzewa/drzew z działki oznaczonej                           nr ewidencyjnym ............................., obręb ................................. stanowiącej moją własność.</w:t>
      </w:r>
    </w:p>
    <w:p>
      <w:pPr>
        <w:pStyle w:val="Normal"/>
        <w:spacing w:lineRule="auto" w:line="360"/>
        <w:jc w:val="both"/>
        <w:rPr>
          <w:sz w:val="26"/>
          <w:szCs w:val="26"/>
          <w:lang w:val="pl-PL"/>
        </w:rPr>
      </w:pPr>
      <w:r>
        <w:rPr>
          <w:sz w:val="26"/>
          <w:szCs w:val="26"/>
          <w:lang w:val="pl-PL"/>
        </w:rPr>
      </w:r>
    </w:p>
    <w:p>
      <w:pPr>
        <w:pStyle w:val="Normal"/>
        <w:spacing w:lineRule="auto" w:line="360"/>
        <w:jc w:val="both"/>
        <w:rPr>
          <w:b/>
          <w:bCs/>
          <w:sz w:val="22"/>
          <w:szCs w:val="22"/>
          <w:u w:val="single"/>
          <w:lang w:val="pl-PL"/>
        </w:rPr>
      </w:pPr>
      <w:r>
        <w:rPr>
          <w:b/>
          <w:bCs/>
          <w:sz w:val="22"/>
          <w:szCs w:val="22"/>
          <w:u w:val="single"/>
          <w:lang w:val="pl-PL"/>
        </w:rPr>
        <w:t>Załącznik obowiązkowy:</w:t>
      </w:r>
    </w:p>
    <w:p>
      <w:pPr>
        <w:pStyle w:val="Normal"/>
        <w:spacing w:lineRule="auto" w:line="360"/>
        <w:jc w:val="both"/>
        <w:rPr>
          <w:b/>
          <w:bCs/>
          <w:sz w:val="22"/>
          <w:szCs w:val="22"/>
          <w:u w:val="single"/>
          <w:lang w:val="pl-PL"/>
        </w:rPr>
      </w:pPr>
      <w:r>
        <w:rPr>
          <w:b/>
          <w:bCs/>
          <w:sz w:val="22"/>
          <w:szCs w:val="22"/>
          <w:u w:val="single"/>
          <w:lang w:val="pl-PL"/>
        </w:rPr>
      </w:r>
    </w:p>
    <w:p>
      <w:pPr>
        <w:pStyle w:val="Zawartotabeli"/>
        <w:spacing w:before="0" w:after="283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- rysunek lub mapka określająca usytuowanie drzew/a na nieruchomości,</w:t>
      </w:r>
    </w:p>
    <w:p>
      <w:pPr>
        <w:pStyle w:val="Zawartotabeli"/>
        <w:spacing w:before="0" w:after="283"/>
        <w:jc w:val="both"/>
        <w:rPr/>
      </w:pPr>
      <w:r>
        <w:rPr>
          <w:rStyle w:val="Domylnaczcionkaakapitu"/>
          <w:sz w:val="22"/>
          <w:szCs w:val="22"/>
          <w:lang w:val="pl-PL"/>
        </w:rPr>
        <w:t xml:space="preserve">-  zgoda współwłaściciela/i nieruchomości na usunięcie drzew/a – </w:t>
      </w:r>
      <w:r>
        <w:rPr>
          <w:rStyle w:val="Domylnaczcionkaakapitu"/>
          <w:i/>
          <w:iCs/>
          <w:sz w:val="22"/>
          <w:szCs w:val="22"/>
          <w:lang w:val="pl-PL"/>
        </w:rPr>
        <w:t>w przypadku nieruchomości objętej współwłasnością.</w:t>
      </w:r>
    </w:p>
    <w:p>
      <w:pPr>
        <w:pStyle w:val="BodyText"/>
        <w:spacing w:lineRule="auto" w:line="360" w:before="0" w:after="283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ab/>
        <w:t>Pouczony o odpowiedzialności za składanie fałszywych zeznań na podstawie art. 75 § 2 ustawy                      z dnia  14 czerwca 1960 r. Kodeks postępowania administracyjnego (Dz. U. z 2025 r. poz. 1691) oświadczam, iż dane zawarte w tym wniosku są zgodne ze stanem faktycznym.</w:t>
      </w:r>
    </w:p>
    <w:p>
      <w:pPr>
        <w:pStyle w:val="BodyText"/>
        <w:spacing w:lineRule="auto" w:line="360" w:before="0" w:after="283"/>
        <w:jc w:val="both"/>
        <w:rPr/>
      </w:pPr>
      <w:r>
        <w:rPr>
          <w:rStyle w:val="Domylnaczcionkaakapitu"/>
          <w:sz w:val="22"/>
          <w:szCs w:val="22"/>
          <w:lang w:val="pl-PL"/>
        </w:rPr>
        <w:t>Oświadczam, że zamiar usunięcia drzewa/drzew nie jest związane z prowadzeniem działalności gospodarczej.</w:t>
      </w:r>
    </w:p>
    <w:p>
      <w:pPr>
        <w:pStyle w:val="Normal"/>
        <w:spacing w:lineRule="auto" w:line="360"/>
        <w:rPr>
          <w:sz w:val="26"/>
          <w:szCs w:val="26"/>
          <w:lang w:val="pl-PL"/>
        </w:rPr>
      </w:pPr>
      <w:r>
        <w:rPr>
          <w:sz w:val="26"/>
          <w:szCs w:val="26"/>
          <w:lang w:val="pl-PL"/>
        </w:rPr>
      </w:r>
    </w:p>
    <w:p>
      <w:pPr>
        <w:pStyle w:val="Normal"/>
        <w:spacing w:lineRule="auto" w:line="360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.............................................................................................................</w:t>
      </w:r>
    </w:p>
    <w:p>
      <w:pPr>
        <w:pStyle w:val="BodyText"/>
        <w:spacing w:lineRule="auto" w:line="360"/>
        <w:jc w:val="center"/>
        <w:rPr>
          <w:sz w:val="16"/>
          <w:szCs w:val="16"/>
          <w:lang w:val="pl-PL"/>
        </w:rPr>
      </w:pPr>
      <w:r>
        <w:rPr>
          <w:sz w:val="16"/>
          <w:szCs w:val="16"/>
          <w:lang w:val="pl-PL"/>
        </w:rPr>
        <w:t xml:space="preserve">                                                                                                      </w:t>
      </w:r>
      <w:r>
        <w:rPr>
          <w:sz w:val="16"/>
          <w:szCs w:val="16"/>
          <w:lang w:val="pl-PL"/>
        </w:rPr>
        <w:t>czytelny(e) podpis(y) wnioskodawcy/ wnioskodawców lub pełnomocnika</w:t>
      </w:r>
    </w:p>
    <w:p>
      <w:pPr>
        <w:pStyle w:val="Normal"/>
        <w:spacing w:lineRule="auto" w:line="360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</w:r>
    </w:p>
    <w:p>
      <w:pPr>
        <w:pStyle w:val="BodyText"/>
        <w:spacing w:lineRule="auto" w:line="360"/>
        <w:rPr/>
      </w:pPr>
      <w:r>
        <w:rPr>
          <w:rStyle w:val="Domylnaczcionkaakapitu"/>
          <w:b/>
          <w:sz w:val="21"/>
          <w:szCs w:val="21"/>
          <w:u w:val="single"/>
          <w:lang w:val="pl-PL"/>
        </w:rPr>
        <w:t>Pouczenie</w:t>
      </w:r>
      <w:r>
        <w:rPr>
          <w:rStyle w:val="Domylnaczcionkaakapitu"/>
          <w:sz w:val="21"/>
          <w:szCs w:val="21"/>
          <w:lang w:val="pl-PL"/>
        </w:rPr>
        <w:t>:</w:t>
      </w:r>
    </w:p>
    <w:p>
      <w:pPr>
        <w:pStyle w:val="BodyText"/>
        <w:tabs>
          <w:tab w:val="clear" w:pos="706"/>
        </w:tabs>
        <w:ind w:hanging="360" w:start="360"/>
        <w:jc w:val="both"/>
        <w:rPr>
          <w:sz w:val="21"/>
          <w:szCs w:val="21"/>
          <w:lang w:val="pl-PL"/>
        </w:rPr>
      </w:pPr>
      <w:r>
        <w:rPr>
          <w:sz w:val="21"/>
          <w:szCs w:val="21"/>
          <w:lang w:val="pl-PL"/>
        </w:rPr>
        <w:t>1. Zgłoszeniu nie podlegają drzewa, których obwody pni na wysokości 5 cm nie przekraczają:</w:t>
      </w:r>
    </w:p>
    <w:p>
      <w:pPr>
        <w:pStyle w:val="BodyText"/>
        <w:tabs>
          <w:tab w:val="clear" w:pos="706"/>
        </w:tabs>
        <w:ind w:start="360"/>
        <w:rPr>
          <w:sz w:val="21"/>
          <w:szCs w:val="21"/>
          <w:lang w:val="pl-PL"/>
        </w:rPr>
      </w:pPr>
      <w:r>
        <w:rPr>
          <w:sz w:val="21"/>
          <w:szCs w:val="21"/>
          <w:lang w:val="pl-PL"/>
        </w:rPr>
        <w:t>a) 80cm – w przypadku topoli, wierzby, klonu jesionolistnego oraz klonu srebrzystego,</w:t>
      </w:r>
    </w:p>
    <w:p>
      <w:pPr>
        <w:pStyle w:val="BodyText"/>
        <w:tabs>
          <w:tab w:val="clear" w:pos="706"/>
        </w:tabs>
        <w:ind w:start="360"/>
        <w:rPr>
          <w:sz w:val="21"/>
          <w:szCs w:val="21"/>
          <w:lang w:val="pl-PL"/>
        </w:rPr>
      </w:pPr>
      <w:r>
        <w:rPr>
          <w:sz w:val="21"/>
          <w:szCs w:val="21"/>
          <w:lang w:val="pl-PL"/>
        </w:rPr>
        <w:t>b) 65cm – w przypadku kasztanowca zwyczajnego, robinii akacjowej oraz platanu klonolistnego,</w:t>
      </w:r>
    </w:p>
    <w:p>
      <w:pPr>
        <w:pStyle w:val="BodyText"/>
        <w:tabs>
          <w:tab w:val="clear" w:pos="706"/>
        </w:tabs>
        <w:ind w:start="360"/>
        <w:rPr>
          <w:sz w:val="21"/>
          <w:szCs w:val="21"/>
          <w:lang w:val="pl-PL"/>
        </w:rPr>
      </w:pPr>
      <w:r>
        <w:rPr>
          <w:sz w:val="21"/>
          <w:szCs w:val="21"/>
          <w:lang w:val="pl-PL"/>
        </w:rPr>
        <w:t>c) 50 cm – w przypadku pozostałych gatunków drzew</w:t>
      </w:r>
    </w:p>
    <w:p>
      <w:pPr>
        <w:pStyle w:val="BodyText"/>
        <w:jc w:val="both"/>
        <w:rPr>
          <w:sz w:val="21"/>
          <w:szCs w:val="21"/>
          <w:lang w:val="pl-PL"/>
        </w:rPr>
      </w:pPr>
      <w:r>
        <w:rPr>
          <w:sz w:val="21"/>
          <w:szCs w:val="21"/>
          <w:lang w:val="pl-PL"/>
        </w:rPr>
        <w:t>2. W przypadku usunięcia drzewa/drzew bez dokonania zgłoszenia lub przed upływem terminu na wniesienie sprzeciwu, a także pomimo wniesienia sprzeciwu do zgłoszenia, organ wymierza administracyjną karę pieniężną (podstawa prawna: art. 88 ust. 1 pkt 5 i pkt 6 ustawy o ochronie przyrody).</w:t>
      </w:r>
    </w:p>
    <w:p>
      <w:pPr>
        <w:pStyle w:val="BodyText"/>
        <w:jc w:val="both"/>
        <w:rPr>
          <w:sz w:val="21"/>
          <w:szCs w:val="21"/>
          <w:lang w:val="pl-PL"/>
        </w:rPr>
      </w:pPr>
      <w:r>
        <w:rPr>
          <w:sz w:val="21"/>
          <w:szCs w:val="21"/>
          <w:lang w:val="pl-PL"/>
        </w:rPr>
        <w:t>3. Jeżeli w terminie 5 lat od dokonania oględzin przeprowadzonych przez organ w związku ze złożonym zgłoszeniem usunięcia drzewa lub drzew złożony zostanie wniosek o wydanie pozwolenia na budowę na podstawie ustawy z dnia 7 lipca 1994 r. Prawo budowlane, a budowa będzie miała związek z prowadzeniem działalności gospodarczej i będzie realizowana na części nieruchomości, na której rosło/rosły usunięte drzewo/drzewa, organ nałoży na właściciela nieruchomości, w drodze decyzji administracyjnej, obowiązek uiszczenia opłaty za usunięcie drzewa lub drzew (podstawa prawna: art. 83f ust. 17  ustawy o ochronie przyrody).</w:t>
      </w:r>
    </w:p>
    <w:p>
      <w:pPr>
        <w:pStyle w:val="BodyText"/>
        <w:jc w:val="both"/>
        <w:rPr>
          <w:sz w:val="21"/>
          <w:szCs w:val="21"/>
          <w:lang w:val="pl-PL"/>
        </w:rPr>
      </w:pPr>
      <w:r>
        <w:rPr>
          <w:sz w:val="21"/>
          <w:szCs w:val="21"/>
          <w:lang w:val="pl-PL"/>
        </w:rPr>
        <w:t>4. W przypadku nieusunięcia drzewa przed upływem 6 miesięcy od przeprowadzonych oględzin w terenie jego wycięcie może nastąpić po dokonaniu ponownego zgłoszenia (podstawa prawna: art. 83f ust. 13 ustawy                                   o ochronie przyrody) .</w:t>
      </w:r>
    </w:p>
    <w:p>
      <w:pPr>
        <w:pStyle w:val="BodyText"/>
        <w:jc w:val="both"/>
        <w:rPr>
          <w:sz w:val="21"/>
          <w:szCs w:val="21"/>
          <w:lang w:val="pl-PL"/>
        </w:rPr>
      </w:pPr>
      <w:r>
        <w:rPr>
          <w:sz w:val="21"/>
          <w:szCs w:val="21"/>
          <w:lang w:val="pl-PL"/>
        </w:rPr>
        <w:t>5.  W przypadku działania przez pełnomocnika – oryginał lub uwierzytelniony, zgodnie z art. 33 § 3 k.p.a. odpis pełnomocnictwa do składania oświadczeń woli wraz z oryginałem lub uwierzytelnioną kopią dowodu zapłaty opłaty skarbowej  w wysokości 17 zł od udzielonego pełnomocnictwa</w:t>
      </w:r>
    </w:p>
    <w:p>
      <w:pPr>
        <w:pStyle w:val="Normal"/>
        <w:spacing w:lineRule="auto" w:line="360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autoSpaceDE w:val="false"/>
        <w:jc w:val="center"/>
        <w:rPr/>
      </w:pPr>
      <w:r>
        <w:rPr>
          <w:rStyle w:val="Domylnaczcionkaakapitu"/>
          <w:rFonts w:cs="Times New Roman"/>
          <w:b/>
          <w:sz w:val="22"/>
          <w:szCs w:val="22"/>
          <w:shd w:fill="FFFFFF" w:val="clear"/>
          <w:lang w:val="pl-PL"/>
        </w:rPr>
        <w:t>Informacja o przetwarzaniu danych osobowych</w:t>
        <w:br/>
      </w:r>
    </w:p>
    <w:p>
      <w:pPr>
        <w:pStyle w:val="Bezodstpw"/>
        <w:spacing w:lineRule="auto" w:line="27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Wypełniając obowiązek prawny uregulowany zapisami art. 13 rozporządzenia Parlamentu Europejskiego i Rady (UE) 2016/679 z dnia 27 kwietnia 2016 r. w sprawie ochrony osób fizycznych w związku z przetwarzaniem danych osobowych i w sprawie swobodnego przepływu takich danych oraz uchylenia dyrektywy 95/46/WE (ogólne rozporządzenie o ochronie danych) (Dz. Urząd. Unii Europ. z dnia 04.05.2016 r. L 119/1) (dalej jako „RODO”), informujemy, że:</w:t>
      </w:r>
    </w:p>
    <w:p>
      <w:pPr>
        <w:pStyle w:val="Bezodstpw"/>
        <w:spacing w:lineRule="auto" w:line="27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ny"/>
        <w:widowControl/>
        <w:numPr>
          <w:ilvl w:val="0"/>
          <w:numId w:val="2"/>
        </w:numPr>
        <w:tabs>
          <w:tab w:val="clear" w:pos="706"/>
        </w:tabs>
        <w:suppressAutoHyphens w:val="false"/>
        <w:spacing w:lineRule="auto" w:line="276" w:before="0" w:after="200"/>
        <w:ind w:hanging="284" w:start="284"/>
        <w:contextualSpacing/>
        <w:jc w:val="both"/>
        <w:textAlignment w:val="auto"/>
        <w:rPr/>
      </w:pPr>
      <w:bookmarkStart w:id="0" w:name="_Hlk189046831"/>
      <w:r>
        <w:rPr>
          <w:rStyle w:val="Domylnaczcionkaakapitu"/>
          <w:rFonts w:cs="Times New Roman"/>
          <w:sz w:val="22"/>
          <w:szCs w:val="22"/>
          <w:lang w:val="pl-PL"/>
        </w:rPr>
        <w:t xml:space="preserve">Administratorem danych osobowych przetwarzanych w Urzędzie Gminy w Klukach jest Wójt Gminy Kluki (dalej jako „Administrator”). </w:t>
      </w:r>
      <w:r>
        <w:rPr>
          <w:rStyle w:val="Domylnaczcionkaakapitu"/>
          <w:rFonts w:cs="Times New Roman"/>
          <w:sz w:val="22"/>
          <w:szCs w:val="22"/>
        </w:rPr>
        <w:t>Dane kontaktowe Administratora:</w:t>
      </w:r>
    </w:p>
    <w:p>
      <w:pPr>
        <w:pStyle w:val="Normalny"/>
        <w:widowControl/>
        <w:numPr>
          <w:ilvl w:val="0"/>
          <w:numId w:val="5"/>
        </w:numPr>
        <w:tabs>
          <w:tab w:val="clear" w:pos="706"/>
        </w:tabs>
        <w:suppressAutoHyphens w:val="false"/>
        <w:spacing w:lineRule="auto" w:line="276" w:before="0" w:after="200"/>
        <w:ind w:hanging="0" w:start="284"/>
        <w:contextualSpacing/>
        <w:jc w:val="both"/>
        <w:textAlignment w:val="auto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adres: Kluki 88, 97-415 Kluki</w:t>
      </w:r>
    </w:p>
    <w:p>
      <w:pPr>
        <w:pStyle w:val="Normalny"/>
        <w:widowControl/>
        <w:numPr>
          <w:ilvl w:val="0"/>
          <w:numId w:val="3"/>
        </w:numPr>
        <w:tabs>
          <w:tab w:val="clear" w:pos="706"/>
        </w:tabs>
        <w:suppressAutoHyphens w:val="false"/>
        <w:spacing w:lineRule="auto" w:line="276" w:before="0" w:after="200"/>
        <w:ind w:hanging="0" w:start="284"/>
        <w:contextualSpacing/>
        <w:jc w:val="both"/>
        <w:textAlignment w:val="auto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telefon: 44 631 50 35</w:t>
      </w:r>
    </w:p>
    <w:p>
      <w:pPr>
        <w:pStyle w:val="Normalny"/>
        <w:widowControl/>
        <w:numPr>
          <w:ilvl w:val="0"/>
          <w:numId w:val="3"/>
        </w:numPr>
        <w:tabs>
          <w:tab w:val="clear" w:pos="706"/>
        </w:tabs>
        <w:suppressAutoHyphens w:val="false"/>
        <w:spacing w:lineRule="auto" w:line="276" w:before="0" w:after="0"/>
        <w:ind w:hanging="0" w:start="284"/>
        <w:contextualSpacing/>
        <w:jc w:val="both"/>
        <w:textAlignment w:val="auto"/>
        <w:rPr/>
      </w:pPr>
      <w:r>
        <w:rPr>
          <w:rStyle w:val="Domylnaczcionkaakapitu"/>
          <w:rFonts w:cs="Times New Roman"/>
          <w:color w:val="000000"/>
          <w:sz w:val="22"/>
          <w:szCs w:val="22"/>
        </w:rPr>
        <w:t xml:space="preserve">e-mail: </w:t>
      </w:r>
      <w:r>
        <w:rPr>
          <w:rStyle w:val="Domylnaczcionkaakapitu"/>
          <w:rFonts w:cs="Times New Roman"/>
          <w:color w:val="000000"/>
          <w:sz w:val="22"/>
          <w:szCs w:val="22"/>
          <w:u w:val="single"/>
        </w:rPr>
        <w:t>sekretariat@kluki.pl</w:t>
      </w:r>
    </w:p>
    <w:p>
      <w:pPr>
        <w:pStyle w:val="Akapitzlist"/>
        <w:widowControl/>
        <w:numPr>
          <w:ilvl w:val="0"/>
          <w:numId w:val="2"/>
        </w:numPr>
        <w:suppressAutoHyphens w:val="false"/>
        <w:spacing w:lineRule="auto" w:line="276"/>
        <w:ind w:hanging="284" w:start="284"/>
        <w:jc w:val="both"/>
        <w:textAlignment w:val="auto"/>
        <w:rPr/>
      </w:pPr>
      <w:r>
        <w:rPr>
          <w:rStyle w:val="Domylnaczcionkaakapitu"/>
          <w:rFonts w:cs="Times New Roman"/>
          <w:sz w:val="22"/>
          <w:szCs w:val="22"/>
          <w:lang w:val="pl-PL"/>
        </w:rPr>
        <w:t xml:space="preserve">Kontakt z Inspektorem Ochrony Danych możliwy jest za pomocą poczty elektronicznej: </w:t>
      </w:r>
      <w:hyperlink r:id="rId2" w:tgtFrame="_top">
        <w:r>
          <w:rPr>
            <w:rStyle w:val="Hyperlink"/>
            <w:rFonts w:cs="Times New Roman"/>
            <w:sz w:val="22"/>
            <w:szCs w:val="22"/>
            <w:lang w:val="pl-PL"/>
          </w:rPr>
          <w:t>iod@kluki.pl</w:t>
        </w:r>
      </w:hyperlink>
      <w:r>
        <w:rPr>
          <w:rStyle w:val="Domylnaczcionkaakapitu"/>
          <w:rFonts w:cs="Times New Roman"/>
          <w:sz w:val="22"/>
          <w:szCs w:val="22"/>
          <w:lang w:val="pl-PL"/>
        </w:rPr>
        <w:t xml:space="preserve">  lub pisemnie na adres Administratora.</w:t>
      </w:r>
      <w:bookmarkEnd w:id="0"/>
    </w:p>
    <w:p>
      <w:pPr>
        <w:pStyle w:val="Akapitzlist"/>
        <w:widowControl/>
        <w:numPr>
          <w:ilvl w:val="0"/>
          <w:numId w:val="2"/>
        </w:numPr>
        <w:suppressAutoHyphens w:val="false"/>
        <w:spacing w:lineRule="auto" w:line="276"/>
        <w:ind w:hanging="284" w:start="284"/>
        <w:jc w:val="both"/>
        <w:textAlignment w:val="auto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Dane osobowe przetwarzane są w celu przyjęcia i rozpatrzenia zgłoszenia zamiaru usunięcia drzewa lub drzew, weryfikacji danych zawartych w zgłoszeniu, ustalenia spełnienia przesłanek określonych w przepisach prawa, przeprowadzenia czynności związanych z oględzinami drzew, ewentualnego wniesienia sprzeciwu wobec zgłoszenia, a także realizacji obowiązków wynikających z przepisów prawa. Dane kontaktowe (numer telefonu do kontaktu) przetwarzane są wyłącznie w celu ułatwienia kontaktu ze zgłaszającym w sprawach związanych z prowadzonym postępowaniem.</w:t>
      </w:r>
    </w:p>
    <w:p>
      <w:pPr>
        <w:pStyle w:val="Akapitzlist"/>
        <w:widowControl/>
        <w:numPr>
          <w:ilvl w:val="0"/>
          <w:numId w:val="2"/>
        </w:numPr>
        <w:suppressAutoHyphens w:val="false"/>
        <w:spacing w:lineRule="auto" w:line="276"/>
        <w:ind w:hanging="284" w:start="284"/>
        <w:jc w:val="both"/>
        <w:textAlignment w:val="auto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Podstawą prawną przetwarzania danych osobowych jest art. 6 ust. 1 lit. c RODO, tj. przetwarzanie niezbędne do wypełnienia obowiązku prawnego ciążącego na Administratorze, w szczególności w związku z ustawą z dnia 16 kwietnia 2004 r. o ochronie przyrody, ustawą z dnia 14 czerwca 1960 r. Kodeks postępowania administracyjnego oraz ustawą o samorządzie gminnym.</w:t>
      </w:r>
    </w:p>
    <w:p>
      <w:pPr>
        <w:pStyle w:val="Akapitzlist"/>
        <w:widowControl/>
        <w:numPr>
          <w:ilvl w:val="0"/>
          <w:numId w:val="2"/>
        </w:numPr>
        <w:suppressAutoHyphens w:val="false"/>
        <w:spacing w:lineRule="auto" w:line="276"/>
        <w:ind w:hanging="284" w:start="284"/>
        <w:jc w:val="both"/>
        <w:textAlignment w:val="auto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Podanie danych osobowych wskazanych w zgłoszeniu (imię i nazwisko zgłaszającego, adres zamieszkania, dane dotyczące nieruchomości, w szczególności numer działki ewidencyjnej i obręb, informacje dotyczące drzew przeznaczonych do usunięcia oraz oświadczenia wymagane przepisami prawa) jest obowiązkowe w zakresie niezbędnym do przyjęcia i rozpatrzenia zgłoszenia. Niepodanie wymaganych danych może skutkować brakiem możliwości rozpatrzenia zgłoszenia.</w:t>
      </w:r>
    </w:p>
    <w:p>
      <w:pPr>
        <w:pStyle w:val="Akapitzlist"/>
        <w:widowControl/>
        <w:numPr>
          <w:ilvl w:val="0"/>
          <w:numId w:val="2"/>
        </w:numPr>
        <w:suppressAutoHyphens w:val="false"/>
        <w:spacing w:lineRule="auto" w:line="276"/>
        <w:ind w:hanging="284" w:start="284"/>
        <w:jc w:val="both"/>
        <w:textAlignment w:val="auto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Podanie danych kontaktowych (numer telefonu do kontaktu) jest dobrowolne i nie wpływa na możliwość złożenia ani rozpatrzenia zgłoszenia, jednak ułatwia kontakt w sprawach związanych z prowadzonym postępowaniem.</w:t>
      </w:r>
    </w:p>
    <w:p>
      <w:pPr>
        <w:pStyle w:val="Akapitzlist"/>
        <w:widowControl/>
        <w:numPr>
          <w:ilvl w:val="0"/>
          <w:numId w:val="2"/>
        </w:numPr>
        <w:suppressAutoHyphens w:val="false"/>
        <w:spacing w:lineRule="auto" w:line="276"/>
        <w:ind w:hanging="284" w:start="284"/>
        <w:jc w:val="both"/>
        <w:textAlignment w:val="auto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Administrator udostępni Państwa dane osobowe innym odbiorcom, którzy w ramach zawartych umów lub powierzenia przetwarzania danych wspierają realizację zadań związanych z obsługą zgłoszenia, w szczególności podmiotom świadczącym usługi informatyczne, archiwizacyjne, pocztowe oraz prawne, jeżeli będzie to niezbędne do realizacji tych zadań.</w:t>
      </w:r>
    </w:p>
    <w:p>
      <w:pPr>
        <w:pStyle w:val="Akapitzlist"/>
        <w:widowControl/>
        <w:numPr>
          <w:ilvl w:val="0"/>
          <w:numId w:val="2"/>
        </w:numPr>
        <w:suppressAutoHyphens w:val="false"/>
        <w:spacing w:lineRule="auto" w:line="276"/>
        <w:ind w:hanging="284" w:start="284"/>
        <w:jc w:val="both"/>
        <w:textAlignment w:val="auto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Poza wskazanymi przypadkami dane osobowe mogą zostać udostępnione innym odbiorcom wyłącznie na podstawie przepisów prawa, w szczególności organom administracji publicznej, organom kontroli, sądom oraz innym podmiotom uprawnionym do ich otrzymania na podstawie obowiązujących przepisów.</w:t>
      </w:r>
    </w:p>
    <w:p>
      <w:pPr>
        <w:pStyle w:val="Akapitzlist"/>
        <w:widowControl/>
        <w:numPr>
          <w:ilvl w:val="0"/>
          <w:numId w:val="2"/>
        </w:numPr>
        <w:suppressAutoHyphens w:val="false"/>
        <w:spacing w:lineRule="auto" w:line="276"/>
        <w:ind w:hanging="284" w:start="284"/>
        <w:jc w:val="both"/>
        <w:textAlignment w:val="auto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Dane osobowe będą przetwarzane przez okres niezbędny do rozpatrzenia zgłoszenia oraz przeprowadzenia czynności związanych z jego obsługą, a następnie przez okres wynikający z przepisów o narodowym zasobie archiwalnym i archiwach oraz jednolitego rzeczowego wykazu akt.</w:t>
      </w:r>
    </w:p>
    <w:p>
      <w:pPr>
        <w:pStyle w:val="Akapitzlist"/>
        <w:widowControl/>
        <w:numPr>
          <w:ilvl w:val="0"/>
          <w:numId w:val="2"/>
        </w:numPr>
        <w:suppressAutoHyphens w:val="false"/>
        <w:spacing w:lineRule="auto" w:line="276"/>
        <w:ind w:hanging="284" w:start="284"/>
        <w:jc w:val="both"/>
        <w:textAlignment w:val="auto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W związku z przetwarzaniem danych osobowych przysługują Państwu następujące prawa:</w:t>
      </w:r>
    </w:p>
    <w:p>
      <w:pPr>
        <w:pStyle w:val="Akapitzlist"/>
        <w:widowControl/>
        <w:numPr>
          <w:ilvl w:val="0"/>
          <w:numId w:val="4"/>
        </w:numPr>
        <w:suppressAutoHyphens w:val="false"/>
        <w:spacing w:lineRule="auto" w:line="276"/>
        <w:ind w:hanging="284" w:start="567"/>
        <w:jc w:val="both"/>
        <w:textAlignment w:val="auto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prawo dostępu do treści swoich danych oraz żądania ich sprostowania;</w:t>
      </w:r>
    </w:p>
    <w:p>
      <w:pPr>
        <w:pStyle w:val="Akapitzlist"/>
        <w:widowControl/>
        <w:numPr>
          <w:ilvl w:val="0"/>
          <w:numId w:val="4"/>
        </w:numPr>
        <w:suppressAutoHyphens w:val="false"/>
        <w:spacing w:lineRule="auto" w:line="276"/>
        <w:ind w:hanging="284" w:start="567"/>
        <w:jc w:val="both"/>
        <w:textAlignment w:val="auto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prawo żądania usunięcia danych lub ograniczenia przetwarzania – w sytuacjach i na zasadach określonych w art. 17 i 18 RODO, z uwzględnieniem ograniczeń wynikających z przepisów prawa;</w:t>
      </w:r>
    </w:p>
    <w:p>
      <w:pPr>
        <w:pStyle w:val="Akapitzlist"/>
        <w:widowControl/>
        <w:numPr>
          <w:ilvl w:val="0"/>
          <w:numId w:val="4"/>
        </w:numPr>
        <w:suppressAutoHyphens w:val="false"/>
        <w:spacing w:lineRule="auto" w:line="276"/>
        <w:ind w:hanging="284" w:start="567"/>
        <w:jc w:val="both"/>
        <w:textAlignment w:val="auto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prawo wniesienia sprzeciwu wobec przetwarzania danych – w przypadkach określonych w art. 21 RODO;</w:t>
      </w:r>
    </w:p>
    <w:p>
      <w:pPr>
        <w:pStyle w:val="Akapitzlist"/>
        <w:widowControl/>
        <w:numPr>
          <w:ilvl w:val="0"/>
          <w:numId w:val="4"/>
        </w:numPr>
        <w:suppressAutoHyphens w:val="false"/>
        <w:spacing w:lineRule="auto" w:line="276"/>
        <w:ind w:hanging="284" w:start="567"/>
        <w:jc w:val="both"/>
        <w:textAlignment w:val="auto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prawo wniesienia skargi do Prezesa Urzędu Ochrony Danych Osobowych.</w:t>
      </w:r>
    </w:p>
    <w:p>
      <w:pPr>
        <w:pStyle w:val="Normalny"/>
        <w:widowControl/>
        <w:tabs>
          <w:tab w:val="clear" w:pos="706"/>
        </w:tabs>
        <w:suppressAutoHyphens w:val="false"/>
        <w:spacing w:lineRule="auto" w:line="276"/>
        <w:ind w:hanging="1" w:start="284"/>
        <w:jc w:val="both"/>
        <w:textAlignment w:val="auto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W celu skorzystania z praw, o których mowa w pkt 10 ppkt a)–c), należy skontaktować się z Administratorem lub Inspektorem Ochrony Danych.</w:t>
      </w:r>
    </w:p>
    <w:p>
      <w:pPr>
        <w:pStyle w:val="Akapitzlist"/>
        <w:widowControl/>
        <w:numPr>
          <w:ilvl w:val="0"/>
          <w:numId w:val="2"/>
        </w:numPr>
        <w:suppressAutoHyphens w:val="false"/>
        <w:spacing w:lineRule="auto" w:line="276"/>
        <w:ind w:hanging="284" w:start="284"/>
        <w:jc w:val="both"/>
        <w:textAlignment w:val="auto"/>
        <w:rPr/>
      </w:pPr>
      <w:r>
        <w:rPr>
          <w:rStyle w:val="Domylnaczcionkaakapitu"/>
          <w:sz w:val="22"/>
          <w:szCs w:val="22"/>
          <w:lang w:val="pl-PL"/>
        </w:rPr>
        <w:t>W trakcie przetwarzania danych osobowych nie dochodzi do wyłącznie zautomatyzowanego podejmowania decyzji ani do profilowania, o których mowa w art. 22 ust. 1 i 4 RODO. Dane osobowe nie są przekazywane do państwa trzeciego ani organizacji międzynarodowej.</w:t>
      </w:r>
    </w:p>
    <w:p>
      <w:pPr>
        <w:pStyle w:val="Normalny"/>
        <w:widowControl/>
        <w:suppressAutoHyphens w:val="false"/>
        <w:spacing w:lineRule="auto" w:line="276"/>
        <w:jc w:val="both"/>
        <w:textAlignment w:val="auto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ny"/>
        <w:widowControl/>
        <w:suppressAutoHyphens w:val="false"/>
        <w:spacing w:lineRule="auto" w:line="276"/>
        <w:jc w:val="both"/>
        <w:textAlignment w:val="auto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ny"/>
        <w:widowControl/>
        <w:suppressAutoHyphens w:val="false"/>
        <w:spacing w:lineRule="auto" w:line="276"/>
        <w:jc w:val="both"/>
        <w:textAlignment w:val="auto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ny"/>
        <w:widowControl/>
        <w:suppressAutoHyphens w:val="false"/>
        <w:spacing w:lineRule="auto" w:line="276"/>
        <w:jc w:val="both"/>
        <w:textAlignment w:val="auto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ny"/>
        <w:widowControl/>
        <w:suppressAutoHyphens w:val="false"/>
        <w:spacing w:lineRule="auto" w:line="276"/>
        <w:jc w:val="both"/>
        <w:textAlignment w:val="auto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ny"/>
        <w:widowControl/>
        <w:jc w:val="both"/>
        <w:rPr>
          <w:rFonts w:ascii="Liberation Serif" w:hAnsi="Liberation Serif" w:eastAsia="SimSun" w:cs="Mangal"/>
          <w:sz w:val="22"/>
          <w:szCs w:val="22"/>
          <w:lang w:val="pl-PL" w:eastAsia="zh-CN" w:bidi="hi-IN"/>
        </w:rPr>
      </w:pPr>
      <w:r>
        <w:rPr>
          <w:rFonts w:eastAsia="SimSun" w:cs="Mangal" w:ascii="Liberation Serif" w:hAnsi="Liberation Serif"/>
          <w:sz w:val="22"/>
          <w:szCs w:val="22"/>
          <w:lang w:val="pl-PL" w:eastAsia="zh-CN" w:bidi="hi-IN"/>
        </w:rPr>
        <w:t xml:space="preserve">      …………………………………                  </w:t>
      </w:r>
      <w:r>
        <w:rPr>
          <w:rFonts w:eastAsia="SimSun" w:cs="Mangal" w:ascii="Liberation Serif" w:hAnsi="Liberation Serif"/>
          <w:sz w:val="22"/>
          <w:szCs w:val="22"/>
          <w:lang w:val="pl-PL" w:eastAsia="zh-CN" w:bidi="hi-IN"/>
        </w:rPr>
        <w:tab/>
        <w:tab/>
        <w:tab/>
        <w:t>…………………………………………….</w:t>
      </w:r>
    </w:p>
    <w:p>
      <w:pPr>
        <w:pStyle w:val="Normalny"/>
        <w:widowControl/>
        <w:tabs>
          <w:tab w:val="clear" w:pos="706"/>
        </w:tabs>
        <w:ind w:start="709"/>
        <w:jc w:val="both"/>
        <w:rPr/>
      </w:pPr>
      <w:r>
        <w:rPr>
          <w:rStyle w:val="Domylnaczcionkaakapitu"/>
          <w:rFonts w:eastAsia="SimSun" w:cs="Mangal" w:ascii="Liberation Serif" w:hAnsi="Liberation Serif"/>
          <w:i/>
          <w:sz w:val="16"/>
          <w:lang w:val="pl-PL" w:eastAsia="zh-CN" w:bidi="hi-IN"/>
        </w:rPr>
        <w:t xml:space="preserve">     </w:t>
      </w:r>
      <w:r>
        <w:rPr>
          <w:rStyle w:val="Domylnaczcionkaakapitu"/>
          <w:rFonts w:eastAsia="SimSun" w:cs="Mangal" w:ascii="Liberation Serif" w:hAnsi="Liberation Serif"/>
          <w:i/>
          <w:sz w:val="16"/>
          <w:lang w:val="pl-PL" w:eastAsia="zh-CN" w:bidi="hi-IN"/>
        </w:rPr>
        <w:t>(miejscowość, data)                                                                                                                                  (czytelny podpis Wnioskodawcy</w:t>
      </w:r>
    </w:p>
    <w:p>
      <w:pPr>
        <w:pStyle w:val="Normalny"/>
        <w:widowControl/>
        <w:tabs>
          <w:tab w:val="clear" w:pos="706"/>
        </w:tabs>
        <w:ind w:start="709"/>
        <w:jc w:val="both"/>
        <w:rPr>
          <w:rFonts w:ascii="Liberation Serif" w:hAnsi="Liberation Serif" w:eastAsia="SimSun" w:cs="Mangal"/>
          <w:lang w:val="pl-PL" w:eastAsia="zh-CN" w:bidi="hi-IN"/>
        </w:rPr>
      </w:pPr>
      <w:r>
        <w:rPr>
          <w:rFonts w:eastAsia="SimSun" w:cs="Mangal" w:ascii="Liberation Serif" w:hAnsi="Liberation Serif"/>
          <w:lang w:val="pl-PL" w:eastAsia="zh-CN" w:bidi="hi-IN"/>
        </w:rPr>
      </w:r>
    </w:p>
    <w:p>
      <w:pPr>
        <w:pStyle w:val="Normalny"/>
        <w:widowControl/>
        <w:rPr>
          <w:rFonts w:eastAsia="SimSun" w:cs="Times New Roman"/>
          <w:i/>
          <w:iCs/>
          <w:sz w:val="20"/>
          <w:szCs w:val="20"/>
          <w:lang w:val="pl-PL" w:eastAsia="zh-CN" w:bidi="hi-IN"/>
        </w:rPr>
      </w:pPr>
      <w:r>
        <w:rPr>
          <w:rFonts w:eastAsia="SimSun" w:cs="Times New Roman"/>
          <w:i/>
          <w:iCs/>
          <w:sz w:val="20"/>
          <w:szCs w:val="20"/>
          <w:lang w:val="pl-PL" w:eastAsia="zh-CN" w:bidi="hi-IN"/>
        </w:rPr>
      </w:r>
    </w:p>
    <w:p>
      <w:pPr>
        <w:pStyle w:val="Normalny"/>
        <w:widowControl/>
        <w:suppressAutoHyphens w:val="false"/>
        <w:spacing w:lineRule="auto" w:line="276"/>
        <w:jc w:val="both"/>
        <w:textAlignment w:val="auto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  <w:font w:name="Palatino Linotype">
    <w:charset w:val="ee" w:characterSet="windows-125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Nagwek1user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Nagwek2user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Nagwek3user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1146" w:hanging="360"/>
      </w:pPr>
      <w:rPr>
        <w:rFonts w:ascii="Times New Roman" w:hAnsi="Times New Roman" w:eastAsia="Calibri" w:cs="Times New Roman"/>
        <w:b w:val="false"/>
        <w:bCs w:val="false"/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866" w:hanging="360"/>
      </w:pPr>
    </w:lvl>
    <w:lvl w:ilvl="2">
      <w:start w:val="1"/>
      <w:numFmt w:val="lowerRoman"/>
      <w:lvlText w:val="%3."/>
      <w:lvlJc w:val="end"/>
      <w:pPr>
        <w:tabs>
          <w:tab w:val="num" w:pos="0"/>
        </w:tabs>
        <w:ind w:start="2586" w:hanging="180"/>
      </w:pPr>
    </w:lvl>
    <w:lvl w:ilvl="3">
      <w:start w:val="1"/>
      <w:numFmt w:val="decimal"/>
      <w:lvlText w:val="%4."/>
      <w:lvlJc w:val="start"/>
      <w:pPr>
        <w:tabs>
          <w:tab w:val="num" w:pos="0"/>
        </w:tabs>
        <w:ind w:start="3306" w:hanging="360"/>
      </w:p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026" w:hanging="360"/>
      </w:pPr>
    </w:lvl>
    <w:lvl w:ilvl="5">
      <w:start w:val="1"/>
      <w:numFmt w:val="lowerRoman"/>
      <w:lvlText w:val="%6."/>
      <w:lvlJc w:val="end"/>
      <w:pPr>
        <w:tabs>
          <w:tab w:val="num" w:pos="0"/>
        </w:tabs>
        <w:ind w:start="4746" w:hanging="180"/>
      </w:pPr>
    </w:lvl>
    <w:lvl w:ilvl="6">
      <w:start w:val="1"/>
      <w:numFmt w:val="decimal"/>
      <w:lvlText w:val="%7."/>
      <w:lvlJc w:val="start"/>
      <w:pPr>
        <w:tabs>
          <w:tab w:val="num" w:pos="0"/>
        </w:tabs>
        <w:ind w:start="5466" w:hanging="360"/>
      </w:p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86" w:hanging="360"/>
      </w:pPr>
    </w:lvl>
    <w:lvl w:ilvl="8">
      <w:start w:val="1"/>
      <w:numFmt w:val="lowerRoman"/>
      <w:lvlText w:val="%9."/>
      <w:lvlJc w:val="end"/>
      <w:pPr>
        <w:tabs>
          <w:tab w:val="num" w:pos="0"/>
        </w:tabs>
        <w:ind w:start="6906" w:hanging="180"/>
      </w:pPr>
    </w:lvl>
  </w:abstractNum>
  <w:abstractNum w:abstractNumId="3">
    <w:lvl w:ilvl="0">
      <w:start w:val="1"/>
      <w:numFmt w:val="lowerLetter"/>
      <w:lvlText w:val="%1)"/>
      <w:lvlJc w:val="start"/>
      <w:pPr>
        <w:tabs>
          <w:tab w:val="num" w:pos="0"/>
        </w:tabs>
        <w:ind w:start="502" w:hanging="360"/>
      </w:pPr>
      <w:rPr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778" w:hanging="360"/>
      </w:pPr>
    </w:lvl>
    <w:lvl w:ilvl="2">
      <w:start w:val="1"/>
      <w:numFmt w:val="lowerRoman"/>
      <w:lvlText w:val="%3."/>
      <w:lvlJc w:val="end"/>
      <w:pPr>
        <w:tabs>
          <w:tab w:val="num" w:pos="0"/>
        </w:tabs>
        <w:ind w:start="3498" w:hanging="180"/>
      </w:pPr>
    </w:lvl>
    <w:lvl w:ilvl="3">
      <w:start w:val="1"/>
      <w:numFmt w:val="decimal"/>
      <w:lvlText w:val="%4."/>
      <w:lvlJc w:val="start"/>
      <w:pPr>
        <w:tabs>
          <w:tab w:val="num" w:pos="0"/>
        </w:tabs>
        <w:ind w:start="4218" w:hanging="360"/>
      </w:p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938" w:hanging="360"/>
      </w:pPr>
    </w:lvl>
    <w:lvl w:ilvl="5">
      <w:start w:val="1"/>
      <w:numFmt w:val="lowerRoman"/>
      <w:lvlText w:val="%6."/>
      <w:lvlJc w:val="end"/>
      <w:pPr>
        <w:tabs>
          <w:tab w:val="num" w:pos="0"/>
        </w:tabs>
        <w:ind w:start="5658" w:hanging="180"/>
      </w:pPr>
    </w:lvl>
    <w:lvl w:ilvl="6">
      <w:start w:val="1"/>
      <w:numFmt w:val="decimal"/>
      <w:lvlText w:val="%7."/>
      <w:lvlJc w:val="start"/>
      <w:pPr>
        <w:tabs>
          <w:tab w:val="num" w:pos="0"/>
        </w:tabs>
        <w:ind w:start="6378" w:hanging="360"/>
      </w:p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7098" w:hanging="360"/>
      </w:pPr>
    </w:lvl>
    <w:lvl w:ilvl="8">
      <w:start w:val="1"/>
      <w:numFmt w:val="lowerRoman"/>
      <w:lvlText w:val="%9."/>
      <w:lvlJc w:val="end"/>
      <w:pPr>
        <w:tabs>
          <w:tab w:val="num" w:pos="0"/>
        </w:tabs>
        <w:ind w:start="7818" w:hanging="180"/>
      </w:pPr>
    </w:lvl>
  </w:abstractNum>
  <w:abstractNum w:abstractNumId="4">
    <w:lvl w:ilvl="0">
      <w:start w:val="1"/>
      <w:numFmt w:val="lowerLetter"/>
      <w:lvlText w:val="%1)"/>
      <w:lvlJc w:val="start"/>
      <w:pPr>
        <w:tabs>
          <w:tab w:val="num" w:pos="0"/>
        </w:tabs>
        <w:ind w:start="1004" w:hanging="360"/>
      </w:p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724" w:hanging="360"/>
      </w:pPr>
    </w:lvl>
    <w:lvl w:ilvl="2">
      <w:start w:val="1"/>
      <w:numFmt w:val="lowerRoman"/>
      <w:lvlText w:val="%3."/>
      <w:lvlJc w:val="end"/>
      <w:pPr>
        <w:tabs>
          <w:tab w:val="num" w:pos="0"/>
        </w:tabs>
        <w:ind w:start="2444" w:hanging="180"/>
      </w:pPr>
    </w:lvl>
    <w:lvl w:ilvl="3">
      <w:start w:val="1"/>
      <w:numFmt w:val="decimal"/>
      <w:lvlText w:val="%4."/>
      <w:lvlJc w:val="start"/>
      <w:pPr>
        <w:tabs>
          <w:tab w:val="num" w:pos="0"/>
        </w:tabs>
        <w:ind w:start="3164" w:hanging="360"/>
      </w:p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84" w:hanging="360"/>
      </w:pPr>
    </w:lvl>
    <w:lvl w:ilvl="5">
      <w:start w:val="1"/>
      <w:numFmt w:val="lowerRoman"/>
      <w:lvlText w:val="%6."/>
      <w:lvlJc w:val="end"/>
      <w:pPr>
        <w:tabs>
          <w:tab w:val="num" w:pos="0"/>
        </w:tabs>
        <w:ind w:start="4604" w:hanging="180"/>
      </w:pPr>
    </w:lvl>
    <w:lvl w:ilvl="6">
      <w:start w:val="1"/>
      <w:numFmt w:val="decimal"/>
      <w:lvlText w:val="%7."/>
      <w:lvlJc w:val="start"/>
      <w:pPr>
        <w:tabs>
          <w:tab w:val="num" w:pos="0"/>
        </w:tabs>
        <w:ind w:start="5324" w:hanging="360"/>
      </w:p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044" w:hanging="360"/>
      </w:pPr>
    </w:lvl>
    <w:lvl w:ilvl="8">
      <w:start w:val="1"/>
      <w:numFmt w:val="lowerRoman"/>
      <w:lvlText w:val="%9."/>
      <w:lvlJc w:val="end"/>
      <w:pPr>
        <w:tabs>
          <w:tab w:val="num" w:pos="0"/>
        </w:tabs>
        <w:ind w:start="6764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3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60"/>
  <w:defaultTabStop w:val="706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kern w:val="2"/>
        <w:sz w:val="24"/>
        <w:szCs w:val="24"/>
        <w:lang w:val="en-US" w:eastAsia="en-US" w:bidi="en-US"/>
      </w:rPr>
    </w:rPrDefault>
    <w:pPrDefault>
      <w:pPr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</w:pPr>
    <w:rPr>
      <w:rFonts w:ascii="Times New Roman" w:hAnsi="Times New Roman" w:eastAsia="Andale Sans UI" w:cs="Tahom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en-US" w:eastAsia="en-US" w:bidi="en-US"/>
    </w:rPr>
  </w:style>
  <w:style w:type="character" w:styleId="Domylnaczcionkaakapitu">
    <w:name w:val="Domyślna czcionka akapitu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Hipercze">
    <w:name w:val="Hiperłącze"/>
    <w:basedOn w:val="Domylnaczcionkaakapitu"/>
    <w:qFormat/>
    <w:rPr>
      <w:color w:val="0563C1"/>
      <w:u w:val="single"/>
    </w:rPr>
  </w:style>
  <w:style w:type="character" w:styleId="Pogrubienie">
    <w:name w:val="Pogrubienie"/>
    <w:basedOn w:val="Domylnaczcionkaakapitu"/>
    <w:qFormat/>
    <w:rPr>
      <w:b/>
      <w:bCs/>
    </w:rPr>
  </w:style>
  <w:style w:type="character" w:styleId="WWCharLFO1LVL1">
    <w:name w:val="WW_CharLFO1LVL1"/>
    <w:qFormat/>
    <w:rPr>
      <w:rFonts w:ascii="Times New Roman" w:hAnsi="Times New Roman" w:cs="Times New Roman"/>
      <w:b/>
      <w:color w:val="auto"/>
      <w:sz w:val="22"/>
      <w:szCs w:val="20"/>
    </w:rPr>
  </w:style>
  <w:style w:type="character" w:styleId="WWCharLFO1LVL2">
    <w:name w:val="WW_CharLFO1LVL2"/>
    <w:qFormat/>
    <w:rPr>
      <w:rFonts w:cs="Times New Roman"/>
    </w:rPr>
  </w:style>
  <w:style w:type="character" w:styleId="WWCharLFO1LVL3">
    <w:name w:val="WW_CharLFO1LVL3"/>
    <w:qFormat/>
    <w:rPr>
      <w:rFonts w:cs="Times New Roman"/>
    </w:rPr>
  </w:style>
  <w:style w:type="character" w:styleId="WWCharLFO1LVL4">
    <w:name w:val="WW_CharLFO1LVL4"/>
    <w:qFormat/>
    <w:rPr>
      <w:rFonts w:cs="Times New Roman"/>
    </w:rPr>
  </w:style>
  <w:style w:type="character" w:styleId="WWCharLFO1LVL5">
    <w:name w:val="WW_CharLFO1LVL5"/>
    <w:qFormat/>
    <w:rPr>
      <w:rFonts w:cs="Times New Roman"/>
    </w:rPr>
  </w:style>
  <w:style w:type="character" w:styleId="WWCharLFO1LVL6">
    <w:name w:val="WW_CharLFO1LVL6"/>
    <w:qFormat/>
    <w:rPr>
      <w:rFonts w:cs="Times New Roman"/>
    </w:rPr>
  </w:style>
  <w:style w:type="character" w:styleId="WWCharLFO1LVL7">
    <w:name w:val="WW_CharLFO1LVL7"/>
    <w:qFormat/>
    <w:rPr>
      <w:rFonts w:cs="Times New Roman"/>
    </w:rPr>
  </w:style>
  <w:style w:type="character" w:styleId="WWCharLFO1LVL8">
    <w:name w:val="WW_CharLFO1LVL8"/>
    <w:qFormat/>
    <w:rPr>
      <w:rFonts w:cs="Times New Roman"/>
    </w:rPr>
  </w:style>
  <w:style w:type="character" w:styleId="WWCharLFO1LVL9">
    <w:name w:val="WW_CharLFO1LVL9"/>
    <w:qFormat/>
    <w:rPr>
      <w:rFonts w:cs="Times New Roman"/>
    </w:rPr>
  </w:style>
  <w:style w:type="character" w:styleId="WWCharLFO2LVL1">
    <w:name w:val="WW_CharLFO2LVL1"/>
    <w:qFormat/>
    <w:rPr>
      <w:rFonts w:ascii="Times New Roman" w:hAnsi="Times New Roman" w:cs="Times New Roman"/>
      <w:b w:val="false"/>
      <w:color w:val="auto"/>
      <w:sz w:val="22"/>
      <w:szCs w:val="20"/>
    </w:rPr>
  </w:style>
  <w:style w:type="character" w:styleId="WWCharLFO2LVL2">
    <w:name w:val="WW_CharLFO2LVL2"/>
    <w:qFormat/>
    <w:rPr>
      <w:rFonts w:cs="Times New Roman"/>
    </w:rPr>
  </w:style>
  <w:style w:type="character" w:styleId="WWCharLFO2LVL3">
    <w:name w:val="WW_CharLFO2LVL3"/>
    <w:qFormat/>
    <w:rPr>
      <w:rFonts w:cs="Times New Roman"/>
    </w:rPr>
  </w:style>
  <w:style w:type="character" w:styleId="WWCharLFO2LVL4">
    <w:name w:val="WW_CharLFO2LVL4"/>
    <w:qFormat/>
    <w:rPr>
      <w:rFonts w:cs="Times New Roman"/>
    </w:rPr>
  </w:style>
  <w:style w:type="character" w:styleId="WWCharLFO2LVL5">
    <w:name w:val="WW_CharLFO2LVL5"/>
    <w:qFormat/>
    <w:rPr>
      <w:rFonts w:cs="Times New Roman"/>
    </w:rPr>
  </w:style>
  <w:style w:type="character" w:styleId="WWCharLFO2LVL6">
    <w:name w:val="WW_CharLFO2LVL6"/>
    <w:qFormat/>
    <w:rPr>
      <w:rFonts w:cs="Times New Roman"/>
    </w:rPr>
  </w:style>
  <w:style w:type="character" w:styleId="WWCharLFO2LVL7">
    <w:name w:val="WW_CharLFO2LVL7"/>
    <w:qFormat/>
    <w:rPr>
      <w:rFonts w:cs="Times New Roman"/>
    </w:rPr>
  </w:style>
  <w:style w:type="character" w:styleId="WWCharLFO2LVL8">
    <w:name w:val="WW_CharLFO2LVL8"/>
    <w:qFormat/>
    <w:rPr>
      <w:rFonts w:cs="Times New Roman"/>
    </w:rPr>
  </w:style>
  <w:style w:type="character" w:styleId="WWCharLFO2LVL9">
    <w:name w:val="WW_CharLFO2LVL9"/>
    <w:qFormat/>
    <w:rPr>
      <w:rFonts w:cs="Times New Roman"/>
    </w:rPr>
  </w:style>
  <w:style w:type="character" w:styleId="WWCharLFO3LVL1">
    <w:name w:val="WW_CharLFO3LVL1"/>
    <w:qFormat/>
    <w:rPr>
      <w:rFonts w:ascii="Times New Roman" w:hAnsi="Times New Roman" w:eastAsia="Calibri" w:cs="Times New Roman"/>
      <w:b w:val="false"/>
      <w:bCs w:val="false"/>
      <w:sz w:val="22"/>
      <w:szCs w:val="22"/>
    </w:rPr>
  </w:style>
  <w:style w:type="character" w:styleId="WWCharLFO4LVL1">
    <w:name w:val="WW_CharLFO4LVL1"/>
    <w:qFormat/>
    <w:rPr>
      <w:sz w:val="22"/>
      <w:szCs w:val="22"/>
    </w:rPr>
  </w:style>
  <w:style w:type="paragraph" w:styleId="Nagwek1user">
    <w:name w:val="Nagłówek 1 (user)"/>
    <w:basedOn w:val="Nagwek"/>
    <w:next w:val="BodyText"/>
    <w:qFormat/>
    <w:pPr>
      <w:numPr>
        <w:ilvl w:val="0"/>
        <w:numId w:val="1"/>
      </w:numPr>
      <w:suppressAutoHyphens w:val="true"/>
      <w:outlineLvl w:val="0"/>
    </w:pPr>
    <w:rPr>
      <w:b/>
      <w:bCs/>
    </w:rPr>
  </w:style>
  <w:style w:type="paragraph" w:styleId="Nagwek2user">
    <w:name w:val="Nagłówek 2 (user)"/>
    <w:basedOn w:val="Nagwek"/>
    <w:next w:val="BodyText"/>
    <w:qFormat/>
    <w:pPr>
      <w:numPr>
        <w:ilvl w:val="1"/>
        <w:numId w:val="1"/>
      </w:numPr>
      <w:suppressAutoHyphens w:val="true"/>
      <w:spacing w:before="200" w:after="0"/>
      <w:outlineLvl w:val="1"/>
    </w:pPr>
    <w:rPr>
      <w:b/>
      <w:bCs/>
    </w:rPr>
  </w:style>
  <w:style w:type="paragraph" w:styleId="Nagwek3user">
    <w:name w:val="Nagłówek 3 (user)"/>
    <w:basedOn w:val="Nagwek"/>
    <w:next w:val="BodyText"/>
    <w:qFormat/>
    <w:pPr>
      <w:numPr>
        <w:ilvl w:val="2"/>
        <w:numId w:val="1"/>
      </w:numPr>
      <w:suppressAutoHyphens w:val="true"/>
      <w:spacing w:before="140" w:after="0"/>
      <w:outlineLvl w:val="2"/>
    </w:pPr>
    <w:rPr>
      <w:b/>
      <w:bCs/>
    </w:rPr>
  </w:style>
  <w:style w:type="paragraph" w:styleId="Normalny">
    <w:name w:val="Normalny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</w:pPr>
    <w:rPr>
      <w:rFonts w:ascii="Times New Roman" w:hAnsi="Times New Roman" w:eastAsia="Andale Sans UI" w:cs="Tahom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en-US" w:eastAsia="en-US" w:bidi="en-US"/>
    </w:rPr>
  </w:style>
  <w:style w:type="paragraph" w:styleId="Nagwek">
    <w:name w:val="Nagłówek"/>
    <w:basedOn w:val="Normal"/>
    <w:next w:val="BodyText"/>
    <w:qFormat/>
    <w:pPr>
      <w:keepNext w:val="true"/>
      <w:suppressAutoHyphens w:val="true"/>
      <w:spacing w:before="240" w:after="120"/>
    </w:pPr>
    <w:rPr>
      <w:rFonts w:ascii="Arial" w:hAnsi="Arial"/>
      <w:sz w:val="28"/>
      <w:szCs w:val="28"/>
    </w:rPr>
  </w:style>
  <w:style w:type="paragraph" w:styleId="BodyText">
    <w:name w:val="Body Text"/>
    <w:basedOn w:val="Normal"/>
    <w:pPr>
      <w:suppressAutoHyphens w:val="true"/>
      <w:spacing w:before="0" w:after="120"/>
    </w:pPr>
    <w:rPr/>
  </w:style>
  <w:style w:type="paragraph" w:styleId="Listauser">
    <w:name w:val="Lista (user)"/>
    <w:basedOn w:val="BodyText"/>
    <w:qFormat/>
    <w:pPr>
      <w:suppressAutoHyphens w:val="true"/>
    </w:pPr>
    <w:rPr/>
  </w:style>
  <w:style w:type="paragraph" w:styleId="Legenda">
    <w:name w:val="Legenda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Indeks">
    <w:name w:val="Indeks"/>
    <w:basedOn w:val="Normal"/>
    <w:qFormat/>
    <w:pPr>
      <w:suppressLineNumbers/>
      <w:suppressAutoHyphens w:val="true"/>
    </w:pPr>
    <w:rPr/>
  </w:style>
  <w:style w:type="paragraph" w:styleId="Cytatblokowy">
    <w:name w:val="Cytat blokowy"/>
    <w:basedOn w:val="Normal"/>
    <w:qFormat/>
    <w:pPr>
      <w:tabs>
        <w:tab w:val="clear" w:pos="706"/>
      </w:tabs>
      <w:suppressAutoHyphens w:val="true"/>
      <w:spacing w:before="0" w:after="283"/>
      <w:ind w:start="567" w:end="567"/>
    </w:pPr>
    <w:rPr/>
  </w:style>
  <w:style w:type="paragraph" w:styleId="Tytuuser">
    <w:name w:val="Tytuł (user)"/>
    <w:basedOn w:val="Nagwek"/>
    <w:next w:val="BodyText"/>
    <w:qFormat/>
    <w:pPr>
      <w:suppressAutoHyphens w:val="true"/>
      <w:jc w:val="center"/>
    </w:pPr>
    <w:rPr>
      <w:b/>
      <w:bCs/>
      <w:sz w:val="56"/>
      <w:szCs w:val="56"/>
    </w:rPr>
  </w:style>
  <w:style w:type="paragraph" w:styleId="Podtytuuser">
    <w:name w:val="Podtytuł (user)"/>
    <w:basedOn w:val="Nagwek"/>
    <w:next w:val="BodyText"/>
    <w:qFormat/>
    <w:pPr>
      <w:suppressAutoHyphens w:val="true"/>
      <w:spacing w:before="60" w:after="0"/>
      <w:jc w:val="center"/>
    </w:pPr>
    <w:rPr>
      <w:sz w:val="36"/>
      <w:szCs w:val="36"/>
    </w:rPr>
  </w:style>
  <w:style w:type="paragraph" w:styleId="Zawartotabeli">
    <w:name w:val="Zawartość tabeli"/>
    <w:basedOn w:val="Normal"/>
    <w:qFormat/>
    <w:pPr>
      <w:suppressLineNumbers/>
      <w:suppressAutoHyphens w:val="true"/>
    </w:pPr>
    <w:rPr/>
  </w:style>
  <w:style w:type="paragraph" w:styleId="Nagwektabeli">
    <w:name w:val="Nagłówek tabeli"/>
    <w:basedOn w:val="Zawartotabeli"/>
    <w:qFormat/>
    <w:pPr>
      <w:suppressAutoHyphens w:val="true"/>
      <w:jc w:val="center"/>
    </w:pPr>
    <w:rPr>
      <w:b/>
      <w:bCs/>
    </w:rPr>
  </w:style>
  <w:style w:type="paragraph" w:styleId="Akapitzlist">
    <w:name w:val="Akapit z listą"/>
    <w:basedOn w:val="Normalny"/>
    <w:qFormat/>
    <w:pPr>
      <w:tabs>
        <w:tab w:val="clear" w:pos="706"/>
      </w:tabs>
      <w:suppressAutoHyphens w:val="true"/>
      <w:spacing w:before="0" w:after="0"/>
      <w:ind w:start="720"/>
      <w:contextualSpacing/>
    </w:pPr>
    <w:rPr/>
  </w:style>
  <w:style w:type="paragraph" w:styleId="Bezodstpw">
    <w:name w:val="Bez odstępów"/>
    <w:qFormat/>
    <w:pPr>
      <w:keepNext w:val="false"/>
      <w:keepLines w:val="false"/>
      <w:pageBreakBefore w:val="false"/>
      <w:widowControl/>
      <w:pBdr/>
      <w:shd w:fill="auto" w:val="clear"/>
      <w:suppressAutoHyphens w:val="false"/>
      <w:kinsoku w:val="true"/>
      <w:overflowPunct w:val="true"/>
      <w:autoSpaceDE w:val="true"/>
      <w:bidi w:val="0"/>
      <w:snapToGrid w:val="true"/>
      <w:spacing w:lineRule="auto" w:line="240" w:before="0" w:after="0"/>
      <w:textAlignment w:val="auto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Cs w:val="22"/>
      <w:u w:val="none"/>
      <w:shd w:fill="auto" w:val="clear"/>
      <w:vertAlign w:val="baseline"/>
      <w:em w:val="none"/>
      <w:lang w:val="pl-PL" w:bidi="ar-SA" w:eastAsia="en-US"/>
    </w:rPr>
  </w:style>
  <w:style w:type="paragraph" w:styleId="NormalnyWeb">
    <w:name w:val="Normalny (Web)"/>
    <w:basedOn w:val="Normalny"/>
    <w:qFormat/>
    <w:pPr>
      <w:widowControl/>
      <w:suppressAutoHyphens w:val="false"/>
      <w:spacing w:before="100" w:after="100"/>
      <w:textAlignment w:val="auto"/>
    </w:pPr>
    <w:rPr>
      <w:rFonts w:eastAsia="Times New Roman" w:cs="Times New Roman"/>
      <w:kern w:val="0"/>
      <w:lang w:val="pl-PL" w:eastAsia="pl-PL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@kluki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449</TotalTime>
  <Application>LibreOffice/26.2.1.2$Windows_X86_64 LibreOffice_project/620$Build-2</Application>
  <AppVersion>15.0000</AppVersion>
  <Pages>3</Pages>
  <Words>1218</Words>
  <Characters>7310</Characters>
  <CharactersWithSpaces>8511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2009-04-16T11:32:00Z</dcterms:created>
  <dc:creator/>
  <dc:description/>
  <dc:language>pl-PL</dc:language>
  <cp:lastModifiedBy>Gmina Kluki</cp:lastModifiedBy>
  <cp:lastPrinted>2026-03-05T07:22:00Z</cp:lastPrinted>
  <dcterms:modified xsi:type="dcterms:W3CDTF">2026-03-05T07:38:00Z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