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1600" w:type="dxa"/>
        <w:jc w:val="left"/>
        <w:tblInd w:w="-1342" w:type="dxa"/>
        <w:tblLayout w:type="fixed"/>
        <w:tblCellMar>
          <w:top w:w="105" w:type="dxa"/>
          <w:left w:w="75" w:type="dxa"/>
          <w:bottom w:w="105" w:type="dxa"/>
          <w:right w:w="75" w:type="dxa"/>
        </w:tblCellMar>
        <w:tblLook w:firstRow="1" w:noVBand="1" w:lastRow="0" w:firstColumn="1" w:lastColumn="0" w:noHBand="0" w:val="04a0"/>
      </w:tblPr>
      <w:tblGrid>
        <w:gridCol w:w="7028"/>
        <w:gridCol w:w="14571"/>
      </w:tblGrid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24 miesiące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Ogólne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urządzenia: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Router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obudowy: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Montowany w szafie rack - 1U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Technologia podłączania: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Przewodowa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Protokół komunkacyjny danych: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Ethernet, Fast Ethernet, Gigabit Ethernet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Cechy: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Zasilanie przez Ethernet (poE)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Procesor minimalna częstotliwość: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1.4 GHz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RAM minimalna ilosć: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GB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Pamięć fleszowa minimalna ilosć: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128 MB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Wbudowane urządzenia: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 xml:space="preserve">Wyświetlacz 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Rozszerzenie / połączenie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LAN: 9 x 10Base-T/100Base-TX/1000Base-T - RJ-45</w:t>
              <w:br/>
              <w:t>LAN: 1 x 10Base-T/100Base-TX/1000Base-T (PoE) - RJ-45</w:t>
              <w:br/>
              <w:t>USB 3.0: 1 x USB 9 pin Typ A</w:t>
              <w:br/>
              <w:t>1 x SFP (mini-GBIC)</w:t>
              <w:br/>
              <w:t>Szeregowy: 1 x RJ-45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Zasilanie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Zużycie energii w trybie aktywności maksymalne: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10 wat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Oprogramowanie / Wymagania systemowe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Dołączony system operacyjny: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TAK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Wymiary i waga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Szerokość maksymalna: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45  cm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Głębokość maksymalna: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10  cm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Wysokość maksymalna: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5  cm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Parametry środowiska</w:t>
            </w:r>
          </w:p>
        </w:tc>
      </w:tr>
      <w:tr>
        <w:trPr/>
        <w:tc>
          <w:tcPr>
            <w:tcW w:w="7028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Minimalna temperatura pracy:</w:t>
            </w:r>
          </w:p>
        </w:tc>
        <w:tc>
          <w:tcPr>
            <w:tcW w:w="14571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-30 °C</w:t>
            </w:r>
          </w:p>
        </w:tc>
      </w:tr>
      <w:tr>
        <w:trPr/>
        <w:tc>
          <w:tcPr>
            <w:tcW w:w="7028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Maksymalna temperatura pracy:</w:t>
            </w:r>
          </w:p>
        </w:tc>
        <w:tc>
          <w:tcPr>
            <w:tcW w:w="14571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70 °C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3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>
        <w:rFonts w:ascii="Liberation Serif" w:hAnsi="Liberation Serif"/>
      </w:rPr>
      <w:t xml:space="preserve">Zał. 1 Część </w:t>
    </w:r>
    <w:r>
      <w:rPr>
        <w:rFonts w:ascii="Liberation Serif" w:hAnsi="Liberation Serif"/>
      </w:rPr>
      <w:t>9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kstprzypisukocowegoZnak">
    <w:name w:val="Tekst przypisu końcowego Znak"/>
    <w:qFormat/>
    <w:rPr>
      <w:rFonts w:ascii="Arial Narrow" w:hAnsi="Arial Narrow" w:eastAsia="Times New Roman" w:cs="Times New Roman"/>
      <w:color w:val="000000"/>
      <w:sz w:val="20"/>
      <w:szCs w:val="20"/>
    </w:rPr>
  </w:style>
  <w:style w:type="character" w:styleId="Asizelarge">
    <w:name w:val="a-size-larg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matkomentarzaZnak">
    <w:name w:val="Temat komentarza Znak"/>
    <w:qFormat/>
    <w:rPr>
      <w:rFonts w:ascii="Arial Narrow" w:hAnsi="Arial Narrow" w:eastAsia="Times New Roman" w:cs="Times New Roman"/>
      <w:b/>
      <w:bCs/>
      <w:color w:val="000000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paragraph" w:styleId="Annotationsubject">
    <w:name w:val="annotation subject"/>
    <w:qFormat/>
    <w:pPr>
      <w:widowControl/>
      <w:bidi w:val="0"/>
      <w:spacing w:lineRule="auto" w:line="259" w:before="0" w:after="160"/>
      <w:jc w:val="left"/>
    </w:pPr>
    <w:rPr>
      <w:rFonts w:ascii="Arial Narrow" w:hAnsi="Arial Narrow" w:eastAsia="Times New Roman" w:cs="Times New Roman"/>
      <w:b/>
      <w:bCs/>
      <w:color w:val="auto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before="0" w:after="200"/>
    </w:pPr>
    <w:rPr>
      <w:rFonts w:ascii="Calibri" w:hAnsi="Calibri" w:eastAsia="Calibri" w:cs="0"/>
      <w:sz w:val="20"/>
      <w:lang w:val="de-DE" w:eastAsia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/>
      <w:szCs w:val="22"/>
      <w:lang w:eastAsia="en-US"/>
    </w:rPr>
  </w:style>
  <w:style w:type="paragraph" w:styleId="Tabelapozycja">
    <w:name w:val="Tabela pozycja"/>
    <w:basedOn w:val="Normal"/>
    <w:qFormat/>
    <w:pPr/>
    <w:rPr>
      <w:rFonts w:ascii="Arial" w:hAnsi="Arial" w:eastAsia="MS Outloo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1</Pages>
  <Words>138</Words>
  <Characters>832</Characters>
  <CharactersWithSpaces>969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Worach</dc:creator>
  <dc:description/>
  <dc:language>pl-PL</dc:language>
  <cp:lastModifiedBy/>
  <dcterms:modified xsi:type="dcterms:W3CDTF">2022-06-20T14:04:01Z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