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41" w:rightFromText="141" w:tblpX="0" w:tblpY="853" w:topFromText="0" w:vertAnchor="page"/>
        <w:tblW w:w="109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8"/>
        <w:gridCol w:w="6666"/>
      </w:tblGrid>
      <w:tr>
        <w:trPr/>
        <w:tc>
          <w:tcPr>
            <w:tcW w:w="42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NAZWA PARAMETRU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MINIMALNE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Technologia druku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technologia laserowa, czterobębnowa 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Format oryginału i kopii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A6-A3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Prędkość drukowania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Min. 25 stron A4 / min. w kolorze i mono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Obsługiwane rozdzielczości drukowania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600 x 600 dpi oraz 1200x1200 dpi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Czas wydruku pierwszej strony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kolorowej maks. 9,2 sek., czarno-białej maks. 7 sek.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Czas nagrzewania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maks. 18 sek. od włączenia zasilania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Kopiowanie wielokrotne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 1 do 9999 kopii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Pamięć RAM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min. 4 GB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016" w:leader="none"/>
              </w:tabs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Dysk SSD lub HDD</w:t>
              <w:tab/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min. 32 GB SSD, opcjonalnie 1 TB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Zoom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25-400% 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Panel operatora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Panel operatora wyposażony w kolorowy ekran dotykowy LCD, o przekątnej min. 10 cali, w języku polskim. Panel z regulacją kąta nachylenia. Integracja urządzenia z aplikacjami zewnętrznymi poprzez ekran dotykowy urządzenia.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Dupleks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automatyczny, obsługa papieru 60-256</w:t>
            </w: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Podajnik dokumentów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Dwustronny - jednoprzebiegowy, pojemność tacy podającej min. 140 ark. (A4, 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Podajniki papieru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00"/>
              <w:ind w:left="360" w:hanging="3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podajnik automatyczny min. 2 x 500 ark. (80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), obsługa papieru 60-300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(w tym min. jeden obsługujący papier formatu A3);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00"/>
              <w:ind w:left="360" w:hanging="3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taca boczna na min. 150 ark. (A4, 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), obsługa papieru A6-A3, 60-300 g/m2   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Odbiór wydruków i kopii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Taca odbiorcza na min. 500 arkuszy (80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Podstawa mobilna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Język opisu strony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PCL 6, Post Script Level 3 (dopuszcza się emulacje)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Interfejsy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USB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en-US"/>
              </w:rPr>
              <w:t>2.0,  Ethernet 10/100/1000 Mb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Funkcje skanowania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skanowanie do PC, do e-mail, do FTP, TWAIN (sieciowy), do pamięci przenośnej USB, WIA, SMB, do skrzynki dokumentów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Rozdzielczość skanowania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600 dpi 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Prędkość skanowania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kolor: min. 80 str. / min. (300 dpi/A4)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Typy plików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PDF, PDF/A, PDF szyfrowany, PDF kompresowany, JPEG, TIFF, XPS,</w:t>
            </w:r>
          </w:p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Opcjonalnie: PDF przeszukiwalny, docx, xlsx, pptx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Dołączone oprogramowanie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Monitorowanie i zarządzanie urządzeniem przez sieć komputerową: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Automatyczne wykrywanie urządzeń pracujących w sieci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Kompleksowe wyświetlanie informacji o urządzeniu (ustawienia, liczniki, użytkownicy, książki adresowe, logi i inne.)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Zdalna konfiguracja urządzeń i właściwości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Wykonywanie aktualizacji oprogramowania dla pojedynczego urządzenia i grupy urządzeń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Powiadamianie o stanie urządzenia poprzez e-mail (np. zacięcie papieru, niski poziom tonera)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Personalizacja widoku dla grup urządzeń zgodnie z kryteriami (np. wszystkie urządzenia z niskim poziomem tonera)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Mapowanie wyświetlacza z ustawieniami użytkownika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23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Eksport danych o urządzeniach oraz licznikach do analizy kosztów i aktywności użytkowników</w:t>
            </w:r>
          </w:p>
          <w:p>
            <w:pPr>
              <w:pStyle w:val="Normal"/>
              <w:widowControl w:val="false"/>
              <w:spacing w:lineRule="exact" w:line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Funkcje Kontaktu z Serwisem Technicznym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18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Funkcja zgłaszania usterek z panelu urządzenia na konfigurowalny adres e-mail Serwisu Technicznego z możliwością:</w:t>
            </w:r>
          </w:p>
          <w:p>
            <w:pPr>
              <w:pStyle w:val="ListParagraph"/>
              <w:widowControl w:val="false"/>
              <w:spacing w:lineRule="exact" w:line="200"/>
              <w:ind w:left="318" w:hanging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podania danych osoby zgłaszającej (minimum: imię i nazwisko, numer telefonu oraz adres e-mail),</w:t>
            </w:r>
          </w:p>
          <w:p>
            <w:pPr>
              <w:pStyle w:val="ListParagraph"/>
              <w:widowControl w:val="false"/>
              <w:spacing w:lineRule="exact" w:line="200"/>
              <w:ind w:left="318" w:hanging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zamieszczenia opisu usterki,</w:t>
            </w:r>
          </w:p>
          <w:p>
            <w:pPr>
              <w:pStyle w:val="ListParagraph"/>
              <w:widowControl w:val="false"/>
              <w:spacing w:lineRule="exact" w:line="200"/>
              <w:ind w:left="318" w:hanging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dodania załącznika do zgłoszenia w formie zeskanowanego dokumentu.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18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Funkcja zarzadzania zamawianiem tonerów z panelu urządzenia na konfigurowalny adres e-mail, z możliwością: </w:t>
            </w:r>
          </w:p>
          <w:p>
            <w:pPr>
              <w:pStyle w:val="ListParagraph"/>
              <w:widowControl w:val="false"/>
              <w:spacing w:lineRule="exact" w:line="200"/>
              <w:ind w:left="318" w:hanging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blokowania wielokrotnego zamawianie tego samego typu tonera poprzez weryfikację, czy zamówiony toner został już wymieniony,</w:t>
            </w:r>
          </w:p>
          <w:p>
            <w:pPr>
              <w:pStyle w:val="ListParagraph"/>
              <w:widowControl w:val="false"/>
              <w:spacing w:lineRule="exact" w:line="200"/>
              <w:ind w:left="318" w:hanging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-  definiowania poziomu minimalnego, poniżej którego dopuszczalne jest zamówienie nowego tonera.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00"/>
              <w:ind w:left="318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Funkcja personalizacji widoku na urządzeniu poprzez dodanie własnej treści na ekranie zgłaszania usterek/zamawiania tonerów (krótkich instrukcji, etc.)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Materiały eksploatacyjne jako wyposażenie standardowe (dostarczone w komplecie z urządzeniem)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Tonery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: w ilości, która zapewni wydrukowanie minimum 12 000 stron kolorowych A4 (zgodnie z ISO 19798)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Materiały eksploatacyjne (za wyjątkiem tonerów)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 ilości, która zapewni wydrukowanie minimum 200 000 stron kolorowych A4. Dostarczone materiały muszą być nowe i nieużywane, oraz wyprodukowane przez producenta oferowanych urządzeń.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Możliwość rozbudowy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00"/>
              <w:ind w:left="360" w:hanging="3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Podajnik papieru na min. 3000 ark. (A4, 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)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00"/>
              <w:ind w:left="360" w:hanging="3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Standardowy faks klasy Super G3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00"/>
              <w:ind w:left="360" w:hanging="3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Finiszer zszywający, min. 1 taca odbiorcza o pojemności min. 4.000 ark. (A4, 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), obsługa papieru o wadze 60-300 g/m2 , zszywacz min. 100 ark. (A4, 80 g/m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), funkcja składania i zszywania broszur</w:t>
            </w:r>
          </w:p>
        </w:tc>
      </w:tr>
    </w:tbl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Tretekstu"/>
        <w:spacing w:lineRule="exact" w:line="200" w:before="0" w:after="1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567" w:right="424" w:gutter="0" w:header="284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>
        <w:b/>
      </w:rPr>
      <w:t xml:space="preserve">URZĄDZENIE WIELOFUNKCYJNE A3 KOLOR,     </w:t>
    </w:r>
    <w:r>
      <w:rPr>
        <w:rFonts w:ascii="Liberation Serif" w:hAnsi="Liberation Serif"/>
        <w:b/>
      </w:rPr>
      <w:t>Za</w:t>
    </w:r>
    <w:r>
      <w:rPr>
        <w:rFonts w:ascii="Liberation Serif" w:hAnsi="Liberation Serif"/>
      </w:rPr>
      <w:t xml:space="preserve">ł. 1 Część </w:t>
    </w:r>
    <w:r>
      <w:rPr>
        <w:rFonts w:ascii="Liberation Serif" w:hAnsi="Liberation Serif"/>
      </w:rPr>
      <w:t>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1663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e1096"/>
    <w:rPr>
      <w:sz w:val="24"/>
      <w:szCs w:val="24"/>
      <w:lang w:eastAsia="en-US"/>
    </w:rPr>
  </w:style>
  <w:style w:type="character" w:styleId="StopkaZnak" w:customStyle="1">
    <w:name w:val="Stopka Znak"/>
    <w:basedOn w:val="DefaultParagraphFont"/>
    <w:qFormat/>
    <w:rsid w:val="00ee1096"/>
    <w:rPr>
      <w:sz w:val="24"/>
      <w:szCs w:val="24"/>
      <w:lang w:eastAsia="en-US"/>
    </w:rPr>
  </w:style>
  <w:style w:type="character" w:styleId="EndnoteCharacters">
    <w:name w:val="End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kstprzypisukocowegoZnak">
    <w:name w:val="Tekst przypisu końcowego Znak"/>
    <w:qFormat/>
    <w:rPr>
      <w:rFonts w:ascii="Arial Narrow" w:hAnsi="Arial Narrow" w:eastAsia="Times New Roman" w:cs="Times New Roman"/>
      <w:color w:val="000000"/>
      <w:sz w:val="20"/>
      <w:szCs w:val="20"/>
    </w:rPr>
  </w:style>
  <w:style w:type="character" w:styleId="Asizelarge">
    <w:name w:val="a-size-larg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matkomentarzaZnak">
    <w:name w:val="Temat komentarza Znak"/>
    <w:qFormat/>
    <w:rPr>
      <w:rFonts w:ascii="Arial Narrow" w:hAnsi="Arial Narrow" w:eastAsia="Times New Roman" w:cs="Times New Roman"/>
      <w:b/>
      <w:bCs/>
      <w:color w:val="000000"/>
      <w:sz w:val="20"/>
      <w:szCs w:val="20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162b2"/>
    <w:pPr>
      <w:spacing w:before="0" w:after="120"/>
    </w:pPr>
    <w:rPr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65381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e10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ee10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Calibri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ascii="Arial Narrow" w:hAnsi="Arial Narrow" w:eastAsia="Times New Roman" w:cs="Times New Roman"/>
      <w:b/>
      <w:bCs/>
      <w:color w:val="auto"/>
      <w:kern w:val="0"/>
      <w:sz w:val="20"/>
      <w:szCs w:val="20"/>
      <w:lang w:val="pl-PL" w:eastAsia="pl-PL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before="0" w:after="200"/>
    </w:pPr>
    <w:rPr>
      <w:rFonts w:ascii="Calibri" w:hAnsi="Calibri" w:eastAsia="Calibri" w:cs="0"/>
      <w:sz w:val="20"/>
      <w:lang w:val="de-DE" w:eastAsia="en-US"/>
    </w:rPr>
  </w:style>
  <w:style w:type="paragraph" w:styleId="Tabelapozycja">
    <w:name w:val="Tabela pozycja"/>
    <w:basedOn w:val="Normal"/>
    <w:qFormat/>
    <w:pPr/>
    <w:rPr>
      <w:rFonts w:ascii="Arial" w:hAnsi="Arial" w:eastAsia="MS Outloo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372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FD49-2385-4A65-812C-1B173C7B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1</Pages>
  <Words>600</Words>
  <Characters>3602</Characters>
  <CharactersWithSpaces>4194</CharactersWithSpaces>
  <Paragraphs>8</Paragraphs>
  <Company>Arcus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j.szczesny</dc:creator>
  <dc:description/>
  <dc:language>pl-PL</dc:language>
  <cp:lastModifiedBy/>
  <cp:lastPrinted>2022-06-20T14:03:37Z</cp:lastPrinted>
  <dcterms:modified xsi:type="dcterms:W3CDTF">2022-06-20T14:03:43Z</dcterms:modified>
  <cp:revision>3</cp:revision>
  <dc:subject/>
  <dc:title>PRZYKŁADOWA SPECYFIKACJA TECHNICZNA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