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576" w:type="dxa"/>
        <w:jc w:val="left"/>
        <w:tblInd w:w="-469" w:type="dxa"/>
        <w:tblLayout w:type="fixed"/>
        <w:tblCellMar>
          <w:top w:w="0" w:type="dxa"/>
          <w:left w:w="71" w:type="dxa"/>
          <w:bottom w:w="0" w:type="dxa"/>
          <w:right w:w="71" w:type="dxa"/>
        </w:tblCellMar>
        <w:tblLook w:firstRow="0" w:noVBand="0" w:lastRow="0" w:firstColumn="0" w:lastColumn="0" w:noHBand="0" w:val="0000"/>
      </w:tblPr>
      <w:tblGrid>
        <w:gridCol w:w="451"/>
        <w:gridCol w:w="1706"/>
        <w:gridCol w:w="7419"/>
      </w:tblGrid>
      <w:tr>
        <w:trPr>
          <w:trHeight w:val="284" w:hRule="atLeast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elapozycja"/>
              <w:widowControl w:val="false"/>
              <w:jc w:val="both"/>
              <w:rPr>
                <w:rFonts w:ascii="Verdana" w:hAnsi="Verdana" w:eastAsia="Times New Roman" w:cs="Arial"/>
                <w:b/>
                <w:b/>
                <w:sz w:val="19"/>
                <w:szCs w:val="19"/>
                <w:lang w:eastAsia="en-US"/>
              </w:rPr>
            </w:pPr>
            <w:r>
              <w:rPr>
                <w:rFonts w:eastAsia="Times New Roman" w:cs="Arial" w:ascii="Verdana" w:hAnsi="Verdana"/>
                <w:b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Verdana" w:hAnsi="Verdana" w:cs="Arial"/>
                <w:b/>
                <w:b/>
                <w:sz w:val="19"/>
                <w:szCs w:val="19"/>
              </w:rPr>
            </w:pPr>
            <w:r>
              <w:rPr>
                <w:rFonts w:cs="Arial" w:ascii="Verdana" w:hAnsi="Verdana"/>
                <w:b/>
                <w:sz w:val="19"/>
                <w:szCs w:val="19"/>
              </w:rPr>
              <w:t>Nazwa komponentu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1" w:hanging="0"/>
              <w:jc w:val="both"/>
              <w:rPr>
                <w:rFonts w:ascii="Verdana" w:hAnsi="Verdana" w:cs="Arial"/>
                <w:b/>
                <w:b/>
                <w:sz w:val="19"/>
                <w:szCs w:val="19"/>
              </w:rPr>
            </w:pPr>
            <w:r>
              <w:rPr>
                <w:rFonts w:cs="Arial" w:ascii="Verdana" w:hAnsi="Verdana"/>
                <w:b/>
                <w:sz w:val="19"/>
                <w:szCs w:val="19"/>
              </w:rPr>
              <w:t>Wymagane minimalne parametry techniczne komputerów</w:t>
            </w:r>
          </w:p>
        </w:tc>
      </w:tr>
      <w:tr>
        <w:trPr>
          <w:trHeight w:val="284" w:hRule="atLeast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cs="Arial" w:ascii="Verdana" w:hAnsi="Verdana"/>
                <w:bCs/>
                <w:sz w:val="19"/>
                <w:szCs w:val="19"/>
              </w:rPr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cs="Arial" w:ascii="Verdana" w:hAnsi="Verdana"/>
                <w:bCs/>
                <w:sz w:val="19"/>
                <w:szCs w:val="19"/>
              </w:rPr>
              <w:t>Komputer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Komputer będzie wykorzystywany dla potrzeb aplikacji biurowych, dostępu do Internetu oraz poczty elektronicznej, jako lokalna baza danych, stacja programistyczna. W ofercie należy podać nazwę producenta, typ, model, oraz numer katalogowy oferowanego sprzętu.</w:t>
            </w:r>
          </w:p>
        </w:tc>
      </w:tr>
      <w:tr>
        <w:trPr>
          <w:trHeight w:val="284" w:hRule="atLeast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cs="Arial" w:ascii="Verdana" w:hAnsi="Verdana"/>
                <w:bCs/>
                <w:sz w:val="19"/>
                <w:szCs w:val="19"/>
              </w:rPr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cs="Arial" w:ascii="Verdana" w:hAnsi="Verdana"/>
                <w:bCs/>
                <w:sz w:val="19"/>
                <w:szCs w:val="19"/>
              </w:rPr>
              <w:t>Obudowa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Typu mini tower z obsługą kart PCI Express wyłącznie o wysokim (pełnym) profilu.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Fabrycznie umożliwiająca montaż min. 2 kieszeni: 1 szt. na napęd optyczny (dopuszcza się stosowanie napedów slim) zewnętrzna, 1 szt. 3,5”na standardowy dysk twardy.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 xml:space="preserve">Wyposażona w czytnik kart multimedialnych </w:t>
            </w:r>
          </w:p>
          <w:p>
            <w:pPr>
              <w:pStyle w:val="Normal"/>
              <w:widowControl w:val="false"/>
              <w:jc w:val="both"/>
              <w:rPr>
                <w:rFonts w:ascii="Verdana" w:hAnsi="Verdana" w:cs="Calibri"/>
                <w:bCs/>
                <w:sz w:val="19"/>
                <w:szCs w:val="19"/>
              </w:rPr>
            </w:pPr>
            <w:r>
              <w:rPr>
                <w:rFonts w:cs="Calibri" w:ascii="Verdana" w:hAnsi="Verdana"/>
                <w:bCs/>
                <w:sz w:val="19"/>
                <w:szCs w:val="19"/>
              </w:rPr>
              <w:t>- Obudowa trwale oznaczona nazwą producenta, nazwą komputera, numerem MTM, PN, numerem seryjnym</w:t>
            </w:r>
          </w:p>
          <w:p>
            <w:pPr>
              <w:pStyle w:val="Normal"/>
              <w:widowControl w:val="false"/>
              <w:rPr>
                <w:rFonts w:ascii="Verdana" w:hAnsi="Verdana" w:eastAsia="Calibri" w:eastAsiaTheme="minorHAnsi"/>
                <w:sz w:val="19"/>
                <w:szCs w:val="19"/>
                <w:lang w:eastAsia="en-US"/>
              </w:rPr>
            </w:pPr>
            <w:r>
              <w:rPr>
                <w:rFonts w:cs="Calibri" w:ascii="Verdana" w:hAnsi="Verdana"/>
                <w:bCs/>
                <w:sz w:val="19"/>
                <w:szCs w:val="19"/>
              </w:rPr>
              <w:t>- Wyposażona w budowany głośnik o mocy min. 2W</w:t>
            </w:r>
            <w:r>
              <w:rPr>
                <w:rFonts w:eastAsia="Calibri" w:ascii="Verdana" w:hAnsi="Verdana" w:eastAsiaTheme="minorHAnsi"/>
                <w:sz w:val="19"/>
                <w:szCs w:val="19"/>
                <w:lang w:eastAsia="en-US"/>
              </w:rPr>
              <w:t xml:space="preserve"> </w:t>
            </w:r>
          </w:p>
        </w:tc>
      </w:tr>
      <w:tr>
        <w:trPr>
          <w:trHeight w:val="284" w:hRule="atLeast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cs="Arial" w:ascii="Verdana" w:hAnsi="Verdana"/>
                <w:bCs/>
                <w:sz w:val="19"/>
                <w:szCs w:val="19"/>
              </w:rPr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cs="Arial" w:ascii="Verdana" w:hAnsi="Verdana"/>
                <w:bCs/>
                <w:sz w:val="19"/>
                <w:szCs w:val="19"/>
              </w:rPr>
              <w:t>Zasilacz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Zasilacz maksymalnie 180W o sprawności minimum 85%</w:t>
            </w:r>
          </w:p>
        </w:tc>
      </w:tr>
      <w:tr>
        <w:trPr>
          <w:trHeight w:val="284" w:hRule="atLeast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cs="Arial" w:ascii="Verdana" w:hAnsi="Verdana"/>
                <w:bCs/>
                <w:sz w:val="19"/>
                <w:szCs w:val="19"/>
              </w:rPr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Chipset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Dostosowany do zaoferowanego procesora</w:t>
            </w:r>
          </w:p>
        </w:tc>
      </w:tr>
      <w:tr>
        <w:trPr>
          <w:trHeight w:val="284" w:hRule="atLeast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cs="Arial" w:ascii="Verdana" w:hAnsi="Verdana"/>
                <w:bCs/>
                <w:sz w:val="19"/>
                <w:szCs w:val="19"/>
              </w:rPr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Płyta główna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Zaprojektowana i wyprodukowana przez producenta komputera.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Wyposażona w złącza min.: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rPr>
                <w:rFonts w:ascii="Verdana" w:hAnsi="Verdana" w:cs="Arial"/>
                <w:sz w:val="19"/>
                <w:szCs w:val="19"/>
                <w:lang w:val="en-US"/>
              </w:rPr>
            </w:pPr>
            <w:r>
              <w:rPr>
                <w:rFonts w:cs="Arial" w:ascii="Verdana" w:hAnsi="Verdana"/>
                <w:sz w:val="19"/>
                <w:szCs w:val="19"/>
                <w:lang w:val="en-GB"/>
              </w:rPr>
              <w:t>1 x PCI Express 3.0 x</w:t>
            </w:r>
            <w:r>
              <w:rPr>
                <w:rFonts w:cs="Arial" w:ascii="Verdana" w:hAnsi="Verdana"/>
                <w:sz w:val="19"/>
                <w:szCs w:val="19"/>
                <w:lang w:val="en-US"/>
              </w:rPr>
              <w:t>16,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rPr>
                <w:rFonts w:ascii="Verdana" w:hAnsi="Verdana" w:cs="Arial"/>
                <w:sz w:val="19"/>
                <w:szCs w:val="19"/>
                <w:lang w:val="en-US"/>
              </w:rPr>
            </w:pPr>
            <w:r>
              <w:rPr>
                <w:rFonts w:cs="Arial" w:ascii="Verdana" w:hAnsi="Verdana"/>
                <w:sz w:val="19"/>
                <w:szCs w:val="19"/>
                <w:lang w:val="en-GB"/>
              </w:rPr>
              <w:t>1 x PCI Express 3.0 x1,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2 x M.2 z czego min. 1 przeznaczona dla dysku SSD z obsługą PCIe NVMe</w:t>
            </w:r>
          </w:p>
        </w:tc>
      </w:tr>
      <w:tr>
        <w:trPr>
          <w:trHeight w:val="284" w:hRule="atLeast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cs="Arial" w:ascii="Verdana" w:hAnsi="Verdana"/>
                <w:bCs/>
                <w:sz w:val="19"/>
                <w:szCs w:val="19"/>
              </w:rPr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Procesor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Procesor wielordzeniowy ze zintegrowaną grafiką, zaprojektowany do pracy w komputerach stacjonarnych klasy x86, o wydajności liczonej w punktach równej lub wyższej procesorowi AMD Ryzen 5 5600G na podstawie PerformanceTest w teście CPU Mark według wyników Avarage CPU Mark opublikowanych na http://www.cpubenchmark.net/. Wykonawca w składanej ofercie winien podać dokładny model oferowanego podzespołu.</w:t>
            </w:r>
          </w:p>
        </w:tc>
      </w:tr>
      <w:tr>
        <w:trPr>
          <w:trHeight w:val="284" w:hRule="atLeast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cs="Arial" w:ascii="Verdana" w:hAnsi="Verdana"/>
                <w:bCs/>
                <w:sz w:val="19"/>
                <w:szCs w:val="19"/>
              </w:rPr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Pamięć operacyjna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>
              <w:rPr>
                <w:rFonts w:cs="Arial" w:ascii="Verdana" w:hAnsi="Verdana"/>
                <w:color w:val="000000"/>
                <w:sz w:val="19"/>
                <w:szCs w:val="19"/>
              </w:rPr>
              <w:t xml:space="preserve">Min. 8GB DDR4 3200MHz z możliwością rozszerzenia do 64 GB </w:t>
            </w:r>
          </w:p>
          <w:p>
            <w:pPr>
              <w:pStyle w:val="Normal"/>
              <w:widowControl w:val="false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>
              <w:rPr>
                <w:rFonts w:cs="Arial" w:ascii="Verdana" w:hAnsi="Verdana"/>
                <w:color w:val="000000"/>
                <w:sz w:val="19"/>
                <w:szCs w:val="19"/>
              </w:rPr>
              <w:t>Ilość wolnych banków pamięci: min. 1 szt.</w:t>
            </w:r>
          </w:p>
        </w:tc>
      </w:tr>
      <w:tr>
        <w:trPr>
          <w:trHeight w:val="284" w:hRule="atLeast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cs="Arial" w:ascii="Verdana" w:hAnsi="Verdana"/>
                <w:bCs/>
                <w:sz w:val="19"/>
                <w:szCs w:val="19"/>
              </w:rPr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Dysk twardy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 xml:space="preserve">Min 256GB SSD M.2 PCIe NVMe zawierający recovery umożliwiające odtworzenie systemu operacyjnego fabrycznie zainstalowanego na komputerze po awarii. </w:t>
            </w:r>
          </w:p>
        </w:tc>
      </w:tr>
      <w:tr>
        <w:trPr>
          <w:trHeight w:val="284" w:hRule="atLeast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cs="Arial" w:ascii="Verdana" w:hAnsi="Verdana"/>
                <w:bCs/>
                <w:sz w:val="19"/>
                <w:szCs w:val="19"/>
              </w:rPr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Napęd optyczny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Calibri" w:ascii="Verdana" w:hAnsi="Verdana"/>
                <w:sz w:val="19"/>
                <w:szCs w:val="19"/>
                <w:lang w:eastAsia="en-US"/>
              </w:rPr>
              <w:t xml:space="preserve">Nagrywarka DVD +/-RW </w:t>
            </w:r>
          </w:p>
        </w:tc>
      </w:tr>
      <w:tr>
        <w:trPr>
          <w:trHeight w:val="284" w:hRule="atLeast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Verdana" w:hAnsi="Verdana" w:cs="Arial"/>
                <w:bCs/>
                <w:sz w:val="19"/>
                <w:szCs w:val="19"/>
                <w:lang w:val="sv-SE"/>
              </w:rPr>
            </w:pPr>
            <w:r>
              <w:rPr>
                <w:rFonts w:cs="Arial" w:ascii="Verdana" w:hAnsi="Verdana"/>
                <w:bCs/>
                <w:sz w:val="19"/>
                <w:szCs w:val="19"/>
                <w:lang w:val="sv-SE"/>
              </w:rPr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Karta graficzna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Zintegrowana karta graficzna wykorzystująca pamięć RAM systemu dynamicznie przydzielaną na potrzeby grafiki w trybie UMA (Unified Memory Access) – z możliwością dynamicznego przydzielenia pamięci.</w:t>
            </w:r>
          </w:p>
        </w:tc>
      </w:tr>
      <w:tr>
        <w:trPr>
          <w:trHeight w:val="284" w:hRule="atLeast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cs="Arial" w:ascii="Verdana" w:hAnsi="Verdana"/>
                <w:bCs/>
                <w:sz w:val="19"/>
                <w:szCs w:val="19"/>
              </w:rPr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Audio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 xml:space="preserve">Karta dźwiękowa zintegrowana z płytą główną, zgodna z High Definition. </w:t>
            </w:r>
          </w:p>
        </w:tc>
      </w:tr>
      <w:tr>
        <w:trPr>
          <w:trHeight w:val="284" w:hRule="atLeast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cs="Arial" w:ascii="Verdana" w:hAnsi="Verdana"/>
                <w:bCs/>
                <w:sz w:val="19"/>
                <w:szCs w:val="19"/>
              </w:rPr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Karta sieciowa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Calibri"/>
                <w:sz w:val="19"/>
                <w:szCs w:val="19"/>
              </w:rPr>
            </w:pPr>
            <w:r>
              <w:rPr>
                <w:rFonts w:cs="Calibri" w:ascii="Verdana" w:hAnsi="Verdana"/>
                <w:sz w:val="19"/>
                <w:szCs w:val="19"/>
              </w:rPr>
              <w:t>LAN 10/100/1000 Mbit/s z funkją PXE oraz Wake on LAN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Calibri" w:ascii="Verdana" w:hAnsi="Verdana"/>
                <w:sz w:val="19"/>
                <w:szCs w:val="19"/>
                <w:lang w:val="en-US"/>
              </w:rPr>
              <w:t>WiFi 802.11ac 2x2 + BT 5.0</w:t>
            </w:r>
          </w:p>
        </w:tc>
      </w:tr>
      <w:tr>
        <w:trPr>
          <w:trHeight w:val="284" w:hRule="atLeast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cs="Arial" w:ascii="Verdana" w:hAnsi="Verdana"/>
                <w:bCs/>
                <w:sz w:val="19"/>
                <w:szCs w:val="19"/>
              </w:rPr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Porty/złącza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 xml:space="preserve">Wbudowane porty/złącza: </w:t>
            </w:r>
          </w:p>
          <w:p>
            <w:pPr>
              <w:pStyle w:val="Normal"/>
              <w:widowControl w:val="false"/>
              <w:ind w:left="708" w:hanging="0"/>
              <w:rPr>
                <w:rFonts w:ascii="Verdana" w:hAnsi="Verdana" w:cs="Arial"/>
                <w:sz w:val="19"/>
                <w:szCs w:val="19"/>
                <w:lang w:val="en-US"/>
              </w:rPr>
            </w:pPr>
            <w:r>
              <w:rPr>
                <w:rFonts w:cs="Arial" w:ascii="Verdana" w:hAnsi="Verdana"/>
                <w:sz w:val="19"/>
                <w:szCs w:val="19"/>
                <w:lang w:val="en-US"/>
              </w:rPr>
              <w:t xml:space="preserve">- 1 x VGA, </w:t>
            </w:r>
          </w:p>
          <w:p>
            <w:pPr>
              <w:pStyle w:val="Normal"/>
              <w:widowControl w:val="false"/>
              <w:ind w:left="708" w:hanging="0"/>
              <w:rPr>
                <w:rFonts w:ascii="Verdana" w:hAnsi="Verdana" w:cs="Arial"/>
                <w:sz w:val="19"/>
                <w:szCs w:val="19"/>
                <w:lang w:val="en-US"/>
              </w:rPr>
            </w:pPr>
            <w:r>
              <w:rPr>
                <w:rFonts w:cs="Arial" w:ascii="Verdana" w:hAnsi="Verdana"/>
                <w:sz w:val="19"/>
                <w:szCs w:val="19"/>
                <w:lang w:val="en-US"/>
              </w:rPr>
              <w:t>- 1 x HDMI,</w:t>
            </w:r>
          </w:p>
          <w:p>
            <w:pPr>
              <w:pStyle w:val="Normal"/>
              <w:widowControl w:val="false"/>
              <w:ind w:left="708" w:hanging="0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- 8 x USB w tym min. 4 x USB3.1 z przodu komputera</w:t>
            </w:r>
          </w:p>
          <w:p>
            <w:pPr>
              <w:pStyle w:val="Normal"/>
              <w:widowControl w:val="false"/>
              <w:ind w:left="708" w:hanging="0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 xml:space="preserve">- port sieciowy RJ-45, </w:t>
            </w:r>
          </w:p>
          <w:p>
            <w:pPr>
              <w:pStyle w:val="Normal"/>
              <w:widowControl w:val="false"/>
              <w:ind w:left="708" w:hanging="0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- porty słuchawek i mikrofonu na przednim lub tylnym panelu obudowy</w:t>
            </w:r>
          </w:p>
          <w:p>
            <w:pPr>
              <w:pStyle w:val="Normal"/>
              <w:widowControl w:val="false"/>
              <w:ind w:left="708" w:hanging="0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- czytnik kart pamięci min. SD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Wymagana ilość i rozmieszczenie (na zewnątrz obudowy komputera) portów USB nie może być osiągnięta w wyniku stosowania konwerterów, przejściówek itp.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</w:r>
          </w:p>
        </w:tc>
      </w:tr>
      <w:tr>
        <w:trPr>
          <w:trHeight w:val="284" w:hRule="atLeast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cs="Arial" w:ascii="Verdana" w:hAnsi="Verdana"/>
                <w:bCs/>
                <w:sz w:val="19"/>
                <w:szCs w:val="19"/>
              </w:rPr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Klawiatura/mysz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Calibri"/>
                <w:sz w:val="19"/>
                <w:szCs w:val="19"/>
              </w:rPr>
            </w:pPr>
            <w:r>
              <w:rPr>
                <w:rFonts w:cs="Calibri" w:ascii="Verdana" w:hAnsi="Verdana"/>
                <w:sz w:val="19"/>
                <w:szCs w:val="19"/>
              </w:rPr>
              <w:t>Klawiatura przewodowa w układzie US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Calibri" w:ascii="Verdana" w:hAnsi="Verdana"/>
                <w:sz w:val="19"/>
                <w:szCs w:val="19"/>
              </w:rPr>
              <w:t>Mysz przewodowa (scroll)</w:t>
            </w:r>
          </w:p>
        </w:tc>
      </w:tr>
      <w:tr>
        <w:trPr>
          <w:trHeight w:val="284" w:hRule="atLeast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cs="Arial" w:ascii="Verdana" w:hAnsi="Verdana"/>
                <w:bCs/>
                <w:sz w:val="19"/>
                <w:szCs w:val="19"/>
              </w:rPr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System operacyjny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System operacyjny klasy PC musi spełniać następujące wymagania poprzez wbudowane mechanizmy, bez użycia dodatkowych aplikacji: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1.</w:t>
              <w:tab/>
              <w:t>Dostępne dwa rodzaje graficznego interfejsu użytkownika: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a.</w:t>
              <w:tab/>
              <w:t>Klasyczny, umożliwiający obsługę przy pomocy klawiatury i myszy,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b.</w:t>
              <w:tab/>
              <w:t>Dotykowy umożliwiający sterowanie dotykiem na urządzeniach typu tablet lub monitorach dotykowych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2.</w:t>
              <w:tab/>
              <w:t>Funkcje związane z obsługą komputerów typu tablet, z wbudowanym modułem „uczenia się” pisma użytkownika – obsługa języka polskiego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3.</w:t>
              <w:tab/>
              <w:t>Interfejs użytkownika dostępny w wielu językach do wyboru – w tym polskim i angielskim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4.</w:t>
              <w:tab/>
              <w:t>Możliwość tworzenia pulpitów wirtualnych, przenoszenia aplikacji pomiędzy pulpitami i przełączanie się pomiędzy pulpitami za pomocą skrótów klawiaturowych lub GUI.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5.</w:t>
              <w:tab/>
              <w:t>Wbudowane w system operacyjny minimum dwie przeglądarki Internetowe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6.</w:t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7.</w:t>
              <w:tab/>
              <w:t>Zlokalizowane w języku polskim, co najmniej następujące elementy: menu, pomoc, komunikaty systemowe, menedżer plików.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8.</w:t>
              <w:tab/>
              <w:t>Graficzne środowisko instalacji i konfiguracji dostępne w języku polskim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9.</w:t>
              <w:tab/>
              <w:t>Wbudowany system pomocy w języku polskim.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10.</w:t>
              <w:tab/>
              <w:t>Możliwość przystosowania stanowiska dla osób niepełnosprawnych (np. słabo widzących).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11.</w:t>
              <w:tab/>
              <w:t>Możliwość dokonywania aktualizacji i poprawek systemu poprzez mechanizm zarządzany przez administratora systemu Zamawiającego.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12.</w:t>
              <w:tab/>
              <w:t>Możliwość dostarczania poprawek do systemu operacyjnego w modelu peer-to-peer.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13.</w:t>
              <w:tab/>
              <w:t>Możliwość sterowania czasem dostarczania nowych wersji systemu operacyjnego, możliwość centralnego opóźniania dostarczania nowej wersji o minimum 4 miesiące.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14.</w:t>
              <w:tab/>
              <w:t>Zabezpieczony hasłem hierarchiczny dostęp do systemu, konta i profile użytkowników zarządzane zdalnie; praca systemu w trybie ochrony kont użytkowników.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15.</w:t>
              <w:tab/>
              <w:t>Możliwość dołączenia systemu do usługi katalogowej on-premise lub w chmurze.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16.</w:t>
              <w:tab/>
              <w:t>Umożliwienie zablokowania urządzenia w ramach danego konta tylko do uruchamiania wybranej aplikacji - tryb "kiosk".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17.</w:t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18.</w:t>
              <w:tab/>
              <w:t>Zdalna pomoc i współdzielenie aplikacji – możliwość zdalnego przejęcia sesji zalogowanego użytkownika celem rozwiązania problemu z komputerem.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19.</w:t>
              <w:tab/>
              <w:t>Transakcyjny system plików pozwalający na stosowanie przydziałów (ang. quota) na dysku dla użytkowników oraz zapewniający większą niezawodność i pozwalający tworzyć kopie zapasowe.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20.</w:t>
              <w:tab/>
              <w:t>Oprogramowanie dla tworzenia kopii zapasowych (Backup); automatyczne wykonywanie kopii plików z możliwością automatycznego przywrócenia wersji wcześniejszej.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21.</w:t>
              <w:tab/>
              <w:t>Możliwość przywracania obrazu plików systemowych do uprzednio zapisanej postaci.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22.</w:t>
              <w:tab/>
              <w:t>Możliwość przywracania systemu operacyjnego do stanu początkowego z pozostawieniem plików użytkownika.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23.</w:t>
              <w:tab/>
              <w:t>Możliwość blokowania lub dopuszczania dowolnych urządzeń peryferyjnych za pomocą polityk grupowych (np. przy użyciu numerów identyfikacyjnych sprzętu)."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24.</w:t>
              <w:tab/>
              <w:t>Wbudowany mechanizm wirtualizacji typu hypervisor."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25.</w:t>
              <w:tab/>
              <w:t>Wbudowana możliwość zdalnego dostępu do systemu i pracy zdalnej z wykorzystaniem pełnego interfejsu graficznego.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26.</w:t>
              <w:tab/>
              <w:t>Dostępność bezpłatnych biuletynów bezpieczeństwa związanych z działaniem systemu operacyjnego.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27.</w:t>
              <w:tab/>
              <w:t>Wbudowana zapora internetowa (firewall) dla ochrony połączeń internetowych, zintegrowana z systemem konsola do zarządzania ustawieniami zapory i regułami IP v4 i v6.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28.</w:t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29.</w:t>
              <w:tab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30.</w:t>
              <w:tab/>
              <w:t>Wbudowany system uwierzytelnienia dwuskładnikowego oparty o certyfikat lub klucz prywatny oraz PIN lub uwierzytelnienie biometryczne.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31.</w:t>
              <w:tab/>
              <w:t>Wbudowane mechanizmy ochrony antywirusowej i przeciw złośliwemu oprogramowaniu z zapewnionymi bezpłatnymi aktualizacjami.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32.</w:t>
              <w:tab/>
              <w:t>Wbudowany system szyfrowania dysku twardego ze wsparciem modułu TPM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33.</w:t>
              <w:tab/>
              <w:t>Możliwość tworzenia i przechowywania kopii zapasowych kluczy odzyskiwania do szyfrowania dysku w usługach katalogowych.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34.</w:t>
              <w:tab/>
              <w:t>Możliwość tworzenia wirtualnych kart inteligentnych.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35.</w:t>
              <w:tab/>
              <w:t>Wsparcie dla firmware UEFI i funkcji bezpiecznego rozruchu (Secure Boot)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36.</w:t>
              <w:tab/>
              <w:t>Wbudowany w system, wykorzystywany automatycznie przez wbudowane przeglądarki filtr reputacyjny URL.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37.</w:t>
              <w:tab/>
              <w:t>Wsparcie dla IPSEC oparte na politykach – wdrażanie IPSEC oparte na zestawach reguł definiujących ustawienia zarządzanych w sposób centralny.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38.</w:t>
              <w:tab/>
              <w:t>Mechanizmy logowania w oparciu o: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a.</w:t>
              <w:tab/>
              <w:t>Login i hasło,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b.</w:t>
              <w:tab/>
              <w:t>Karty inteligentne i certyfikaty (smartcard),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c.</w:t>
              <w:tab/>
              <w:t>Wirtualne karty inteligentne i certyfikaty (logowanie w oparciu o certyfikat chroniony poprzez moduł TPM),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d.</w:t>
              <w:tab/>
              <w:t>Certyfikat/Klucz i PIN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e.</w:t>
              <w:tab/>
              <w:t>Certyfikat/Klucz i uwierzytelnienie biometryczne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39.</w:t>
              <w:tab/>
              <w:t>Wsparcie dla uwierzytelniania na bazie Kerberos v. 5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40.</w:t>
              <w:tab/>
              <w:t>Wbudowany agent do zbierania danych na temat zagrożeń na stacji roboczej.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41.</w:t>
              <w:tab/>
              <w:t>Wsparcie .NET Framework 2.x, 3.x i 4.x – możliwość uruchomienia aplikacji działających we wskazanych środowiskach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42.</w:t>
              <w:tab/>
              <w:t>Wsparcie dla VBScript – możliwość uruchamiania interpretera poleceń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43.</w:t>
              <w:tab/>
              <w:t xml:space="preserve">Wsparcie dla PowerShell 5.x – możliwość uruchamiania interpretera poleceń </w:t>
            </w:r>
          </w:p>
        </w:tc>
      </w:tr>
      <w:tr>
        <w:trPr>
          <w:trHeight w:val="284" w:hRule="atLeast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cs="Arial" w:ascii="Verdana" w:hAnsi="Verdana"/>
                <w:bCs/>
                <w:sz w:val="19"/>
                <w:szCs w:val="19"/>
              </w:rPr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 xml:space="preserve">BIOS  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 xml:space="preserve">BIOS zgodny ze specyfikacją UEFI </w:t>
              <w:br/>
              <w:t xml:space="preserve">- Możliwość, bez uruchamiania systemu operacyjnego z dysku twardego komputera lub innych podłączonych do niego urządzeń zewnętrznych informacji o: </w:t>
              <w:br/>
              <w:t>- modelu komputera, PN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- numerze seryjnym,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- AssetTag,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- MAC Adres karty sieciowej,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- wersja Biosu wraz z datą produkcji,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- zainstalowanym procesorze, jego taktowaniu i ilości rdzeni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- ilości pamięci RAM wraz z taktowaniem,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 xml:space="preserve">- stanie pracy wentylatora na procesorze 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- napędach lub dyskach podłączonych do portów SATA oraz M.2 (model dysku i napędu optycznego)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</w:r>
          </w:p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Możliwość z poziomu Bios: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- wyłączania/włączania portów USB zarówno z przodu jak i z tyłu obudowy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- wyłączenia selektywnego (pojedynczego) portów SATA,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- wyłączenia karty sieciowej, karty audio, portu szeregowego,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- możliwość ustawienia portów USB w jednym z dwóch trybów: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użytkownik może kopiować dane z urządzenia pamięci masowej podłączonego do pamięci USB na komputer ale nie może kopiować danych z komputera na urządzenia pamięci masowej podłączone do portu USB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 xml:space="preserve">użytkownik nie może kopiować danych z urządzenia pamięci masowej podłączonego do portu USB na komputer oraz nie może kopiować danych z komputera na urządzenia pamięci masowej 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</w:r>
          </w:p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- ustawienia hasła: administratora, Power-On, HDD,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- blokady aktualizacji BIOS bez podania hasła administratora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- załadowania optymalnych ustawień Bios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- obsługa Bios za pomocą klawiatury i myszy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 xml:space="preserve"> </w:t>
            </w:r>
          </w:p>
        </w:tc>
      </w:tr>
      <w:tr>
        <w:trPr>
          <w:trHeight w:val="284" w:hRule="atLeast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cs="Arial" w:ascii="Verdana" w:hAnsi="Verdana"/>
                <w:bCs/>
                <w:sz w:val="19"/>
                <w:szCs w:val="19"/>
              </w:rPr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cs="Arial" w:ascii="Verdana" w:hAnsi="Verdana"/>
                <w:bCs/>
                <w:sz w:val="19"/>
                <w:szCs w:val="19"/>
              </w:rPr>
              <w:t>Zintegrowany System Diagnostyczny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52" w:before="0" w:after="160"/>
              <w:contextualSpacing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 xml:space="preserve">wykonanie testu pamięci RAM 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52" w:before="0" w:after="160"/>
              <w:contextualSpacing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test dysku twardego lub SSD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52" w:before="0" w:after="160"/>
              <w:contextualSpacing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 xml:space="preserve">test monitora 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52" w:before="0" w:after="160"/>
              <w:contextualSpacing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test magistrali PCI-e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52" w:before="0" w:after="160"/>
              <w:contextualSpacing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test portów USB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52" w:before="0" w:after="160"/>
              <w:contextualSpacing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 xml:space="preserve">test płyty głównej 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52" w:before="0" w:after="160"/>
              <w:contextualSpacing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test myszy i klawiatury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52" w:before="0" w:after="160"/>
              <w:contextualSpacing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test procesora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Wizualna lub dźwiękowa sygnalizacja w przypadku błędów któregokolwiek z powyższych podzespołów komputera.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Ponadto system powinien umożliwiać identyfikacje testowanej jednostki i jej komponentów w następującym zakresie: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52" w:before="0" w:after="160"/>
              <w:contextualSpacing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PC: Producent, model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52" w:before="0" w:after="160"/>
              <w:contextualSpacing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BIOS: Wersja oraz data wydania Bios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52" w:before="0" w:after="160"/>
              <w:contextualSpacing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Procesor: Nazwa, taktowanie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52" w:before="0" w:after="160"/>
              <w:contextualSpacing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Pamięć RAM: Ilość zainstalowanej pamięci RAM, producent oraz numer seryjny poszczególnych kości pamięci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52" w:before="0" w:after="160"/>
              <w:contextualSpacing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Dysk: model, numer seryjny, wersja firmware, pojemność, temperatura pracy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52" w:before="0" w:after="160"/>
              <w:contextualSpacing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Monitor: producent, model, rozdzielczość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sz w:val="19"/>
                <w:szCs w:val="19"/>
              </w:rPr>
              <w:t>System Diagnostyczny działający nawet w przypadku uszkodzenia dysku twardego z systemem operacyjnym komputera.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cs="Arial" w:ascii="Verdana" w:hAnsi="Verdana"/>
                <w:bCs/>
                <w:sz w:val="19"/>
                <w:szCs w:val="19"/>
              </w:rPr>
            </w:r>
          </w:p>
        </w:tc>
      </w:tr>
      <w:tr>
        <w:trPr>
          <w:trHeight w:val="284" w:hRule="atLeast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cs="Arial" w:ascii="Verdana" w:hAnsi="Verdana"/>
                <w:bCs/>
                <w:sz w:val="19"/>
                <w:szCs w:val="19"/>
              </w:rPr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cs="Arial" w:ascii="Verdana" w:hAnsi="Verdana"/>
                <w:bCs/>
                <w:sz w:val="19"/>
                <w:szCs w:val="19"/>
              </w:rPr>
              <w:t>Certyfikaty i standardy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cs="Arial" w:ascii="Verdana" w:hAnsi="Verdana"/>
                <w:bCs/>
                <w:sz w:val="19"/>
                <w:szCs w:val="19"/>
              </w:rPr>
              <w:t>Certyfikat ISO9001 dla producenta sprzętu (należy załączyć do oferty)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both"/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cs="Arial" w:ascii="Verdana" w:hAnsi="Verdana"/>
                <w:bCs/>
                <w:sz w:val="19"/>
                <w:szCs w:val="19"/>
              </w:rPr>
              <w:t>Energy Star 8.0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cs="Arial" w:ascii="Verdana" w:hAnsi="Verdana"/>
                <w:bCs/>
                <w:sz w:val="19"/>
                <w:szCs w:val="19"/>
              </w:rPr>
              <w:t>Deklaracja zgodności CE (załączyć do oferty)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cs="Arial" w:ascii="Verdana" w:hAnsi="Verdana"/>
                <w:bCs/>
                <w:sz w:val="19"/>
                <w:szCs w:val="19"/>
              </w:rPr>
              <w:t>-     Głośność jednostki mierzona z pozycji operatora w trybie IDLE nie większa niż 22 dB – dołączyć dokument potwierdzający głośność jednostki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cs="Arial" w:ascii="Verdana" w:hAnsi="Verdana"/>
                <w:bCs/>
                <w:sz w:val="19"/>
                <w:szCs w:val="19"/>
              </w:rPr>
              <w:t>Potwierdzenie spełnienia kryteriów środowiskowych, w tym zgodności z dyrektywą RoHS Unii Europejskiej o eliminacji substancji niebezpiecznych w postaci oświadczenia producenta jednostki</w:t>
            </w:r>
          </w:p>
        </w:tc>
      </w:tr>
      <w:tr>
        <w:trPr>
          <w:trHeight w:val="284" w:hRule="atLeast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cs="Arial" w:ascii="Verdana" w:hAnsi="Verdana"/>
                <w:bCs/>
                <w:sz w:val="19"/>
                <w:szCs w:val="19"/>
              </w:rPr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cs="Arial" w:ascii="Verdana" w:hAnsi="Verdana"/>
                <w:bCs/>
                <w:sz w:val="19"/>
                <w:szCs w:val="19"/>
              </w:rPr>
              <w:t>Waga/rozmiary urządzenia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Calibri"/>
                <w:bCs/>
                <w:sz w:val="19"/>
                <w:szCs w:val="19"/>
                <w:lang w:eastAsia="en-US"/>
              </w:rPr>
            </w:pPr>
            <w:r>
              <w:rPr>
                <w:rFonts w:cs="Calibri" w:ascii="Verdana" w:hAnsi="Verdana"/>
                <w:bCs/>
                <w:sz w:val="19"/>
                <w:szCs w:val="19"/>
                <w:lang w:eastAsia="en-US"/>
              </w:rPr>
              <w:t>Wysokość nie może być większa niż 34cm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cs="Calibri" w:ascii="Verdana" w:hAnsi="Verdana"/>
                <w:bCs/>
                <w:sz w:val="19"/>
                <w:szCs w:val="19"/>
                <w:lang w:eastAsia="en-US"/>
              </w:rPr>
              <w:t>Szerokość nie może być większa niż 15cm</w:t>
            </w:r>
          </w:p>
        </w:tc>
      </w:tr>
      <w:tr>
        <w:trPr>
          <w:trHeight w:val="284" w:hRule="atLeast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cs="Arial" w:ascii="Verdana" w:hAnsi="Verdana"/>
                <w:bCs/>
                <w:sz w:val="19"/>
                <w:szCs w:val="19"/>
              </w:rPr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cs="Arial" w:ascii="Verdana" w:hAnsi="Verdana"/>
                <w:bCs/>
                <w:sz w:val="19"/>
                <w:szCs w:val="19"/>
              </w:rPr>
              <w:t>Bezpieczeństwo i zdalne zarządzanie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cs="Arial" w:ascii="Verdana" w:hAnsi="Verdana"/>
                <w:bCs/>
                <w:sz w:val="19"/>
                <w:szCs w:val="19"/>
              </w:rPr>
              <w:t>Złącze typu Kensington Lock, czujnik otwarcia obudowy</w:t>
            </w:r>
          </w:p>
        </w:tc>
      </w:tr>
      <w:tr>
        <w:trPr>
          <w:trHeight w:val="284" w:hRule="atLeast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cs="Arial" w:ascii="Verdana" w:hAnsi="Verdana"/>
                <w:bCs/>
                <w:sz w:val="19"/>
                <w:szCs w:val="19"/>
              </w:rPr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cs="Arial" w:ascii="Verdana" w:hAnsi="Verdana"/>
                <w:bCs/>
                <w:sz w:val="19"/>
                <w:szCs w:val="19"/>
              </w:rPr>
              <w:t>Gwarancja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cs="Arial" w:ascii="Verdana" w:hAnsi="Verdana"/>
                <w:bCs/>
                <w:sz w:val="19"/>
                <w:szCs w:val="19"/>
              </w:rPr>
              <w:t>3 lata świadczona w miejscu użytkowania sprzętu (on-site)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cs="Arial" w:ascii="Verdana" w:hAnsi="Verdana"/>
                <w:bCs/>
                <w:sz w:val="19"/>
                <w:szCs w:val="19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sz w:val="19"/>
                <w:szCs w:val="19"/>
                <w:lang w:eastAsia="en-US"/>
              </w:rPr>
            </w:pPr>
            <w:r>
              <w:rPr>
                <w:rFonts w:ascii="Verdana" w:hAnsi="Verdana"/>
                <w:sz w:val="19"/>
                <w:szCs w:val="19"/>
              </w:rPr>
              <w:t>Firma serwisująca musi posiadać ISO 9001 na świadczenie usług serwisowych oraz posiadać autoryzacje producenta urządzeń – dokumenty potwierdzające należy załączyć do oferty.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cs="Arial" w:ascii="Verdana" w:hAnsi="Verdana"/>
                <w:sz w:val="20"/>
              </w:rPr>
              <w:t>Wymagane o</w:t>
            </w:r>
            <w:r>
              <w:rPr>
                <w:rFonts w:cs="Arial" w:ascii="Verdana" w:hAnsi="Verdana"/>
                <w:bCs/>
                <w:sz w:val="20"/>
              </w:rPr>
              <w:t>świadczenie producenta komputera, że w przypadku niewywiązywania się z obowiązków gwarancyjnych oferenta lub firmy serwisującej, przejmie na siebie wszelkie zobowiązania związane z serwisem.</w:t>
            </w:r>
          </w:p>
        </w:tc>
      </w:tr>
      <w:tr>
        <w:trPr>
          <w:trHeight w:val="284" w:hRule="atLeast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cs="Arial" w:ascii="Verdana" w:hAnsi="Verdana"/>
                <w:bCs/>
                <w:sz w:val="19"/>
                <w:szCs w:val="19"/>
              </w:rPr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3" w:leader="none"/>
              </w:tabs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cs="Arial" w:ascii="Verdana" w:hAnsi="Verdana"/>
                <w:bCs/>
                <w:sz w:val="19"/>
                <w:szCs w:val="19"/>
              </w:rPr>
              <w:t>Wsparcie techniczne producenta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pacing w:before="0" w:after="200"/>
              <w:rPr>
                <w:rFonts w:ascii="Verdana" w:hAnsi="Verdana"/>
                <w:bCs/>
                <w:sz w:val="19"/>
                <w:szCs w:val="19"/>
              </w:rPr>
            </w:pPr>
            <w:r>
              <w:rPr>
                <w:rFonts w:ascii="Verdana" w:hAnsi="Verdana"/>
                <w:bCs/>
                <w:sz w:val="19"/>
                <w:szCs w:val="19"/>
              </w:rPr>
              <w:t xml:space="preserve">Zaawansowana diagnostyka sprzętowa oraz oprogramowania dostępna 24h/dobę na stronie producenta komputera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pacing w:before="0" w:after="200"/>
              <w:rPr>
                <w:rFonts w:ascii="Verdana" w:hAnsi="Verdana"/>
                <w:bCs/>
                <w:sz w:val="19"/>
                <w:szCs w:val="19"/>
              </w:rPr>
            </w:pPr>
            <w:r>
              <w:rPr>
                <w:rFonts w:ascii="Verdana" w:hAnsi="Verdana"/>
                <w:bCs/>
                <w:sz w:val="19"/>
                <w:szCs w:val="19"/>
              </w:rPr>
              <w:t xml:space="preserve">Bezpośredni kontakt z Autoryzowanym Partnerem Serwisowym Producenta (brak konieczności zgłaszania każdej usterki sprzętowej telefonicznie), mający na celu przyśpieszenie procesu diagnostyki i skrócenia czasu usunięcia usterki.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pacing w:before="0" w:after="200"/>
              <w:rPr>
                <w:rFonts w:ascii="Verdana" w:hAnsi="Verdana"/>
                <w:bCs/>
                <w:sz w:val="19"/>
                <w:szCs w:val="19"/>
              </w:rPr>
            </w:pPr>
            <w:r>
              <w:rPr>
                <w:rFonts w:ascii="Verdana" w:hAnsi="Verdana"/>
                <w:bCs/>
                <w:sz w:val="19"/>
                <w:szCs w:val="19"/>
              </w:rPr>
              <w:t>Aktualna lista Autoryzowanych Partnerów Serwisowych dostępna na stronie Producenta komputera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pacing w:before="0" w:after="200"/>
              <w:rPr>
                <w:rFonts w:ascii="Verdana" w:hAnsi="Verdana"/>
                <w:bCs/>
                <w:sz w:val="19"/>
                <w:szCs w:val="19"/>
              </w:rPr>
            </w:pPr>
            <w:r>
              <w:rPr>
                <w:rFonts w:ascii="Verdana" w:hAnsi="Verdana"/>
                <w:bCs/>
                <w:sz w:val="19"/>
                <w:szCs w:val="19"/>
              </w:rPr>
              <w:t xml:space="preserve">Infolinia wsparcia technicznego dedykowana do rozwiązywania usterek oprogramowania – możliwość kontaktu przez telefon, formularz web lub chat online, dostępna w dni powszednie od 9:00-18:00 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360" w:hanging="0"/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Możliwość sprawdzenia konfiguracji sprzętowej komputera oraz warunków gwarancji po podaniu numeru seryjnego </w:t>
            </w:r>
            <w:r>
              <w:rPr>
                <w:rFonts w:ascii="Verdana" w:hAnsi="Verdana"/>
                <w:bCs/>
                <w:sz w:val="19"/>
                <w:szCs w:val="19"/>
              </w:rPr>
              <w:t>bezpośrednio na stronie producenta</w:t>
            </w:r>
            <w:r>
              <w:rPr>
                <w:rFonts w:ascii="Verdana" w:hAnsi="Verdana"/>
                <w:sz w:val="19"/>
                <w:szCs w:val="19"/>
                <w:lang w:eastAsia="en-US"/>
              </w:rPr>
              <w:t>.</w:t>
            </w:r>
          </w:p>
        </w:tc>
      </w:tr>
      <w:tr>
        <w:trPr>
          <w:trHeight w:val="284" w:hRule="atLeast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cs="Arial" w:ascii="Verdana" w:hAnsi="Verdana"/>
                <w:bCs/>
                <w:sz w:val="19"/>
                <w:szCs w:val="19"/>
              </w:rPr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3" w:leader="none"/>
              </w:tabs>
              <w:jc w:val="both"/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cs="Arial" w:ascii="Verdana" w:hAnsi="Verdana"/>
                <w:bCs/>
                <w:sz w:val="19"/>
                <w:szCs w:val="19"/>
              </w:rPr>
              <w:t>Wymagania dodatkowe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Verdana" w:hAnsi="Verdana" w:cs="Arial"/>
                <w:sz w:val="19"/>
                <w:szCs w:val="19"/>
                <w:lang w:val="de-DE" w:eastAsia="en-US"/>
              </w:rPr>
            </w:pPr>
            <w:r>
              <w:rPr>
                <w:rFonts w:cs="Arial" w:ascii="Verdana" w:hAnsi="Verdana"/>
                <w:sz w:val="19"/>
                <w:szCs w:val="19"/>
                <w:lang w:val="de-DE" w:eastAsia="en-US"/>
              </w:rPr>
              <w:t>Zamawiający zastrzega sobie prawo sprawdzenia pełnej zgodności parametrów oferowanego sprzętu z wymogami niniejszej SIWZ. W tym celu Wykonawcy na wezwanie Zamawiającego dostarczą do siedziby Zamawiającego w terminie 5 dni od daty otrzymania wezwania, próbkę oferowanego sprzętu. W odniesieniu do programowania mogą zostać dostarczone licencje tymczasowe, w pełni zgodne z oferowanymi.  Ocena złożonych próbek zostanie dokonana przez Komisję Przetargową na zasadzie spełnia / nie spełnia. Z badania każdej próbki zostanie sporządzony protokół. Pozytywna ocena próbki będzie oznaczała zgodność próbki (oferty) z treścią SIWZ. Niezgodność próbki z SIWZ chociażby w zakresie jednego parametru podlegającemu badaniu bądź nieprzedłożenie wymaganej próbki w sposób i terminie wymaganym przez Zamawiającego będzie oznaczało negatywny wynik oceny próbki i będzie skutkowało odrzuceniem oferty na podstawie art. 89 ust. 1 pkt 2 ustawy z dnia 29 stycznia 2004 r. Prawo zamówień publicznych (Dz. U. z 2015 r. poz. 2164 ze zm.), tj. z uwagi na fakt, że treść oferty nie odpowiada treści specyfikacji istotnych warunków zamówienia. Szczegółowy sposób przygotowania i złożenia próbek zostanie dostarczony wykonawcom wraz z wezwaniem do złożenia próbek</w:t>
            </w:r>
          </w:p>
        </w:tc>
      </w:tr>
    </w:tbl>
    <w:p>
      <w:pPr>
        <w:pStyle w:val="Normal"/>
        <w:rPr>
          <w:rFonts w:ascii="Verdana" w:hAnsi="Verdana" w:cs="Arial"/>
          <w:sz w:val="19"/>
          <w:szCs w:val="19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1417" w:top="1936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 Narrow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right"/>
      <w:rPr/>
    </w:pPr>
    <w:r>
      <w:rPr/>
      <w:t>Zał. 1 Część 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rFonts w:cstheme="minorBidi" w:eastAsiaTheme="minorHAns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f750a"/>
    <w:pPr>
      <w:widowControl/>
      <w:suppressAutoHyphens w:val="true"/>
      <w:bidi w:val="0"/>
      <w:spacing w:lineRule="auto" w:line="240" w:before="0" w:after="0"/>
      <w:jc w:val="left"/>
    </w:pPr>
    <w:rPr>
      <w:rFonts w:ascii="Arial Narrow" w:hAnsi="Arial Narrow" w:eastAsia="Times New Roman" w:cs="Times New Roman"/>
      <w:color w:val="auto"/>
      <w:kern w:val="0"/>
      <w:sz w:val="22"/>
      <w:szCs w:val="20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8001a0"/>
    <w:pPr>
      <w:spacing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c72762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f790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6f790b"/>
    <w:rPr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6f790b"/>
    <w:rPr>
      <w:rFonts w:ascii="Tahoma" w:hAnsi="Tahoma" w:eastAsia="Times New Roman" w:cs="Tahoma"/>
      <w:sz w:val="16"/>
      <w:szCs w:val="16"/>
      <w:lang w:val="pl-PL"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3f54ba"/>
    <w:rPr>
      <w:rFonts w:ascii="Arial Narrow" w:hAnsi="Arial Narrow" w:eastAsia="Times New Roman" w:cs="Times New Roman"/>
      <w:b/>
      <w:bCs/>
      <w:sz w:val="20"/>
      <w:szCs w:val="20"/>
      <w:lang w:val="pl-PL" w:eastAsia="pl-PL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5607c1"/>
    <w:rPr>
      <w:color w:val="800080" w:themeColor="followedHyperlink"/>
      <w:u w:val="single"/>
    </w:rPr>
  </w:style>
  <w:style w:type="character" w:styleId="Nagwek1Znak" w:customStyle="1">
    <w:name w:val="Nagłówek 1 Znak"/>
    <w:basedOn w:val="DefaultParagraphFont"/>
    <w:uiPriority w:val="9"/>
    <w:qFormat/>
    <w:rsid w:val="008001a0"/>
    <w:rPr>
      <w:rFonts w:ascii="Times New Roman" w:hAnsi="Times New Roman" w:eastAsia="Times New Roman" w:cs="Times New Roman"/>
      <w:b/>
      <w:bCs/>
      <w:kern w:val="2"/>
      <w:sz w:val="48"/>
      <w:szCs w:val="48"/>
      <w:lang w:val="pl-PL" w:eastAsia="pl-PL"/>
    </w:rPr>
  </w:style>
  <w:style w:type="character" w:styleId="Asizelarge" w:customStyle="1">
    <w:name w:val="a-size-large"/>
    <w:basedOn w:val="DefaultParagraphFont"/>
    <w:qFormat/>
    <w:rsid w:val="008001a0"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c22612"/>
    <w:rPr>
      <w:rFonts w:ascii="Arial Narrow" w:hAnsi="Arial Narrow" w:eastAsia="Times New Roman" w:cs="Times New Roman"/>
      <w:sz w:val="20"/>
      <w:szCs w:val="20"/>
      <w:lang w:val="pl-PL"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c22612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abelapozycja" w:customStyle="1">
    <w:name w:val="Tabela pozycja"/>
    <w:basedOn w:val="Normal"/>
    <w:qFormat/>
    <w:rsid w:val="009f750a"/>
    <w:pPr/>
    <w:rPr>
      <w:rFonts w:ascii="Arial" w:hAnsi="Arial" w:eastAsia="MS Outlook"/>
    </w:rPr>
  </w:style>
  <w:style w:type="paragraph" w:styleId="ListParagraph">
    <w:name w:val="List Paragraph"/>
    <w:basedOn w:val="Normal"/>
    <w:uiPriority w:val="34"/>
    <w:qFormat/>
    <w:rsid w:val="009078dc"/>
    <w:pPr>
      <w:ind w:left="720" w:hanging="0"/>
    </w:pPr>
    <w:rPr>
      <w:rFonts w:ascii="Calibri" w:hAnsi="Calibri"/>
      <w:szCs w:val="22"/>
      <w:lang w:eastAsia="en-US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f790b"/>
    <w:pPr>
      <w:spacing w:before="0" w:after="200"/>
    </w:pPr>
    <w:rPr>
      <w:rFonts w:ascii="Calibri" w:hAnsi="Calibri" w:eastAsia="Calibri" w:cs="" w:asciiTheme="minorHAnsi" w:cstheme="minorBidi" w:eastAsiaTheme="minorHAnsi" w:hAnsiTheme="minorHAnsi"/>
      <w:sz w:val="20"/>
      <w:lang w:val="de-DE"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f790b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f54ba"/>
    <w:pPr>
      <w:spacing w:before="0" w:after="0"/>
    </w:pPr>
    <w:rPr>
      <w:rFonts w:ascii="Arial Narrow" w:hAnsi="Arial Narrow" w:eastAsia="Times New Roman" w:cs="Times New Roman"/>
      <w:b/>
      <w:bCs/>
      <w:lang w:val="pl-PL" w:eastAsia="pl-PL"/>
    </w:rPr>
  </w:style>
  <w:style w:type="paragraph" w:styleId="NormalWeb">
    <w:name w:val="Normal (Web)"/>
    <w:basedOn w:val="Normal"/>
    <w:uiPriority w:val="99"/>
    <w:semiHidden/>
    <w:unhideWhenUsed/>
    <w:qFormat/>
    <w:rsid w:val="00944ba0"/>
    <w:pPr>
      <w:spacing w:beforeAutospacing="1" w:afterAutospacing="1"/>
    </w:pPr>
    <w:rPr>
      <w:rFonts w:ascii="Times New Roman" w:hAnsi="Times New Roman" w:eastAsia="Calibri" w:eastAsiaTheme="minorHAnsi"/>
      <w:sz w:val="24"/>
      <w:szCs w:val="24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c22612"/>
    <w:pPr/>
    <w:rPr>
      <w:sz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2130D-294D-4529-9B1E-04AE208A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LibreOffice/7.3.4.2$Windows_X86_64 LibreOffice_project/728fec16bd5f605073805c3c9e7c4212a0120dc5</Application>
  <AppVersion>15.0000</AppVersion>
  <Pages>6</Pages>
  <Words>2044</Words>
  <Characters>12265</Characters>
  <CharactersWithSpaces>14281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2022-06-13T06:42:00Z</dcterms:created>
  <dc:creator>Marek Worach</dc:creator>
  <dc:description/>
  <dc:language>pl-PL</dc:language>
  <cp:lastModifiedBy/>
  <dcterms:modified xsi:type="dcterms:W3CDTF">2022-06-20T13:57:59Z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