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lang w:val="pl-PL" w:eastAsia="pl-PL" w:bidi="ar-SA"/>
        </w:rPr>
        <w:t>RIR.271.3.2022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Załącznik nr 2b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z postępowania podmiotu, 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Arial" w:ascii="Calibri" w:hAnsi="Calibri"/>
          <w:sz w:val="22"/>
          <w:szCs w:val="22"/>
        </w:rPr>
        <w:t>Na potrzeby postępowania o udzielenie zamówienia publicznego pn. </w:t>
      </w:r>
      <w:r>
        <w:rPr>
          <w:rFonts w:cs="Calibri" w:ascii="Calibri" w:hAnsi="Calibri"/>
          <w:b/>
        </w:rPr>
        <w:t xml:space="preserve">„Rewitalizacja budynku poprzemysłowego wraz z jego otoczeniem, z przeznaczeniem na GOPS w Klukach” </w:t>
      </w:r>
      <w:r>
        <w:rPr>
          <w:rFonts w:cs="Arial" w:ascii="Calibri" w:hAnsi="Calibri"/>
          <w:sz w:val="22"/>
          <w:szCs w:val="22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*</w:t>
      </w:r>
      <w:r>
        <w:rPr>
          <w:rFonts w:cs="Calibri" w:ascii="Calibri" w:hAnsi="Calibri"/>
          <w:sz w:val="16"/>
          <w:szCs w:val="16"/>
        </w:rPr>
        <w:t>jeżeli nie dotyczy pole należy wykreślić/przekreślić/lub wpisać nie dotyczy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LibreOffice/7.0.0.3$Windows_X86_64 LibreOffice_project/8061b3e9204bef6b321a21033174034a5e2ea88e</Application>
  <Pages>1</Pages>
  <Words>277</Words>
  <Characters>1911</Characters>
  <CharactersWithSpaces>2451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2022-05-04T11:14:24Z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